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B8D" w:rsidRPr="006C6C3C" w:rsidRDefault="00D36B8D" w:rsidP="00DD41BB">
      <w:pPr>
        <w:autoSpaceDE w:val="0"/>
        <w:autoSpaceDN w:val="0"/>
        <w:adjustRightInd w:val="0"/>
        <w:spacing w:before="0" w:after="0"/>
        <w:rPr>
          <w:rFonts w:asciiTheme="majorBidi" w:eastAsia="Times New Roman" w:hAnsiTheme="majorBidi" w:cstheme="majorBidi"/>
          <w:i/>
          <w:iCs/>
          <w:sz w:val="24"/>
          <w:szCs w:val="24"/>
          <w:lang w:val="en-US" w:eastAsia="en-GB"/>
        </w:rPr>
      </w:pPr>
      <w:r w:rsidRPr="006C6C3C">
        <w:rPr>
          <w:rFonts w:asciiTheme="majorBidi" w:eastAsia="Times New Roman" w:hAnsiTheme="majorBidi" w:cstheme="majorBidi"/>
          <w:i/>
          <w:iCs/>
          <w:sz w:val="24"/>
          <w:szCs w:val="24"/>
          <w:lang w:val="en-US" w:eastAsia="en-GB"/>
        </w:rPr>
        <w:t>Practice Note</w:t>
      </w:r>
      <w:r w:rsidRPr="006C6C3C">
        <w:rPr>
          <w:rFonts w:asciiTheme="majorBidi" w:eastAsia="Times New Roman" w:hAnsiTheme="majorBidi" w:cstheme="majorBidi"/>
          <w:i/>
          <w:iCs/>
          <w:sz w:val="14"/>
          <w:szCs w:val="14"/>
          <w:lang w:val="en-US" w:eastAsia="en-GB"/>
        </w:rPr>
        <w:t xml:space="preserve"> </w:t>
      </w:r>
      <w:r w:rsidRPr="006C6C3C">
        <w:rPr>
          <w:rFonts w:asciiTheme="majorBidi" w:eastAsia="Times New Roman" w:hAnsiTheme="majorBidi" w:cstheme="majorBidi"/>
          <w:i/>
          <w:iCs/>
          <w:sz w:val="24"/>
          <w:szCs w:val="24"/>
          <w:lang w:val="en-US" w:eastAsia="en-GB"/>
        </w:rPr>
        <w:t>to International Standard on Auditing (ISA) 810</w:t>
      </w:r>
    </w:p>
    <w:p w:rsidR="00D36B8D" w:rsidRPr="006C6C3C" w:rsidRDefault="00D36B8D" w:rsidP="00FB5F09">
      <w:pPr>
        <w:autoSpaceDE w:val="0"/>
        <w:autoSpaceDN w:val="0"/>
        <w:adjustRightInd w:val="0"/>
        <w:spacing w:before="0" w:after="0"/>
        <w:rPr>
          <w:rFonts w:asciiTheme="majorBidi" w:eastAsia="Times New Roman" w:hAnsiTheme="majorBidi" w:cstheme="majorBidi"/>
          <w:i/>
          <w:iCs/>
          <w:sz w:val="24"/>
          <w:szCs w:val="24"/>
          <w:lang w:val="en-US" w:eastAsia="en-GB"/>
        </w:rPr>
      </w:pPr>
      <w:r w:rsidRPr="006C6C3C">
        <w:rPr>
          <w:rFonts w:asciiTheme="majorBidi" w:hAnsiTheme="majorBidi" w:cstheme="majorBidi"/>
          <w:noProof/>
          <w:lang w:val="da-DK" w:eastAsia="da-DK"/>
        </w:rPr>
        <mc:AlternateContent>
          <mc:Choice Requires="wpg">
            <w:drawing>
              <wp:anchor distT="0" distB="0" distL="114300" distR="114300" simplePos="0" relativeHeight="251659264" behindDoc="1" locked="0" layoutInCell="1" allowOverlap="1" wp14:anchorId="24BCB078" wp14:editId="75CABC97">
                <wp:simplePos x="0" y="0"/>
                <wp:positionH relativeFrom="page">
                  <wp:posOffset>733425</wp:posOffset>
                </wp:positionH>
                <wp:positionV relativeFrom="paragraph">
                  <wp:posOffset>96520</wp:posOffset>
                </wp:positionV>
                <wp:extent cx="6315075" cy="161925"/>
                <wp:effectExtent l="0" t="0" r="2857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161925"/>
                          <a:chOff x="1757" y="371"/>
                          <a:chExt cx="8391" cy="2"/>
                        </a:xfrm>
                      </wpg:grpSpPr>
                      <wps:wsp>
                        <wps:cNvPr id="4" name="Freeform 5"/>
                        <wps:cNvSpPr>
                          <a:spLocks/>
                        </wps:cNvSpPr>
                        <wps:spPr bwMode="auto">
                          <a:xfrm>
                            <a:off x="1757" y="371"/>
                            <a:ext cx="8391" cy="2"/>
                          </a:xfrm>
                          <a:custGeom>
                            <a:avLst/>
                            <a:gdLst>
                              <a:gd name="T0" fmla="+- 0 1757 1757"/>
                              <a:gd name="T1" fmla="*/ T0 w 8391"/>
                              <a:gd name="T2" fmla="+- 0 10148 1757"/>
                              <a:gd name="T3" fmla="*/ T2 w 8391"/>
                            </a:gdLst>
                            <a:ahLst/>
                            <a:cxnLst>
                              <a:cxn ang="0">
                                <a:pos x="T1" y="0"/>
                              </a:cxn>
                              <a:cxn ang="0">
                                <a:pos x="T3" y="0"/>
                              </a:cxn>
                            </a:cxnLst>
                            <a:rect l="0" t="0" r="r" b="b"/>
                            <a:pathLst>
                              <a:path w="8391">
                                <a:moveTo>
                                  <a:pt x="0" y="0"/>
                                </a:moveTo>
                                <a:lnTo>
                                  <a:pt x="83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8CF20" id="Group 3" o:spid="_x0000_s1026" style="position:absolute;margin-left:57.75pt;margin-top:7.6pt;width:497.25pt;height:12.75pt;z-index:-251657216;mso-position-horizontal-relative:page" coordorigin="1757,371" coordsize="8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">
                <v:shape id="Freeform 5" o:spid="_x0000_s1027" style="position:absolute;left:1757;top:371;width:8391;height:2;visibility:visible;mso-wrap-style:square;v-text-anchor:top" coordsize="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8JjcMA&#10;AADaAAAADwAAAGRycy9kb3ducmV2LnhtbESPT4vCMBTE74LfITzB25oqui5do6ig7EXBKoi3R/P6&#10;B5uX0kSt++nNwoLHYWZ+w8wWranEnRpXWlYwHEQgiFOrS84VnI6bjy8QziNrrCyTgic5WMy7nRnG&#10;2j74QPfE5yJA2MWooPC+jqV0aUEG3cDWxMHLbGPQB9nkUjf4CHBTyVEUfUqDJYeFAmtaF5Rek5tR&#10;oKe/nK0vlT2fk2y43a32k8tkr1S/1y6/QXhq/Tv83/7RCsbwdyXc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8JjcMAAADaAAAADwAAAAAAAAAAAAAAAACYAgAAZHJzL2Rv&#10;d25yZXYueG1sUEsFBgAAAAAEAAQA9QAAAIgDAAAAAA==&#10;" path="m,l8391,e" filled="f" strokeweight=".5pt">
                  <v:path arrowok="t" o:connecttype="custom" o:connectlocs="0,0;8391,0" o:connectangles="0,0"/>
                </v:shape>
                <w10:wrap anchorx="page"/>
              </v:group>
            </w:pict>
          </mc:Fallback>
        </mc:AlternateContent>
      </w:r>
    </w:p>
    <w:p w:rsidR="00D36B8D" w:rsidRPr="006C6C3C" w:rsidRDefault="00D36B8D" w:rsidP="00FB5F09">
      <w:pPr>
        <w:autoSpaceDE w:val="0"/>
        <w:autoSpaceDN w:val="0"/>
        <w:adjustRightInd w:val="0"/>
        <w:spacing w:before="0" w:after="0"/>
        <w:rPr>
          <w:rFonts w:asciiTheme="majorBidi" w:eastAsia="Times New Roman" w:hAnsiTheme="majorBidi" w:cstheme="majorBidi"/>
          <w:sz w:val="48"/>
          <w:szCs w:val="48"/>
          <w:lang w:val="en-US" w:eastAsia="en-GB"/>
        </w:rPr>
      </w:pPr>
      <w:r w:rsidRPr="006C6C3C">
        <w:rPr>
          <w:rFonts w:asciiTheme="majorBidi" w:eastAsia="Times New Roman" w:hAnsiTheme="majorBidi" w:cstheme="majorBidi"/>
          <w:sz w:val="48"/>
          <w:szCs w:val="48"/>
          <w:lang w:val="en-US" w:eastAsia="en-GB"/>
        </w:rPr>
        <w:t>Engagements to Report on Summary</w:t>
      </w:r>
    </w:p>
    <w:p w:rsidR="00D77610" w:rsidRPr="006C6C3C" w:rsidRDefault="00D36B8D" w:rsidP="00FB5F09">
      <w:pPr>
        <w:autoSpaceDE w:val="0"/>
        <w:autoSpaceDN w:val="0"/>
        <w:adjustRightInd w:val="0"/>
        <w:spacing w:before="0" w:after="0"/>
        <w:rPr>
          <w:rFonts w:asciiTheme="majorBidi" w:eastAsia="Times New Roman" w:hAnsiTheme="majorBidi" w:cstheme="majorBidi"/>
          <w:sz w:val="48"/>
          <w:szCs w:val="48"/>
          <w:lang w:val="en-US" w:eastAsia="en-GB"/>
        </w:rPr>
      </w:pPr>
      <w:r w:rsidRPr="006C6C3C">
        <w:rPr>
          <w:rFonts w:asciiTheme="majorBidi" w:eastAsia="Times New Roman" w:hAnsiTheme="majorBidi" w:cstheme="majorBidi"/>
          <w:sz w:val="48"/>
          <w:szCs w:val="48"/>
          <w:lang w:val="en-US" w:eastAsia="en-GB"/>
        </w:rPr>
        <w:t>Financial Statements</w:t>
      </w:r>
    </w:p>
    <w:p w:rsidR="00D36B8D" w:rsidRPr="006C6C3C" w:rsidRDefault="00D36B8D" w:rsidP="00D36B8D">
      <w:pPr>
        <w:autoSpaceDE w:val="0"/>
        <w:autoSpaceDN w:val="0"/>
        <w:adjustRightInd w:val="0"/>
        <w:spacing w:before="0" w:after="0"/>
        <w:rPr>
          <w:rFonts w:asciiTheme="majorBidi" w:hAnsiTheme="majorBidi" w:cstheme="majorBidi"/>
          <w:b/>
          <w:iCs/>
          <w:sz w:val="20"/>
          <w:szCs w:val="20"/>
        </w:rPr>
      </w:pPr>
    </w:p>
    <w:p w:rsidR="00D77610" w:rsidRPr="006C6C3C" w:rsidRDefault="00D77610" w:rsidP="00D77610">
      <w:pPr>
        <w:autoSpaceDE w:val="0"/>
        <w:autoSpaceDN w:val="0"/>
        <w:adjustRightInd w:val="0"/>
        <w:spacing w:before="0" w:after="0"/>
        <w:jc w:val="both"/>
        <w:rPr>
          <w:rFonts w:asciiTheme="majorBidi" w:hAnsiTheme="majorBidi" w:cstheme="majorBidi"/>
          <w:sz w:val="20"/>
          <w:szCs w:val="20"/>
        </w:rPr>
      </w:pPr>
    </w:p>
    <w:p w:rsidR="00D77610" w:rsidRPr="00F820F5" w:rsidRDefault="00D77610" w:rsidP="00D77610">
      <w:pPr>
        <w:autoSpaceDE w:val="0"/>
        <w:autoSpaceDN w:val="0"/>
        <w:adjustRightInd w:val="0"/>
        <w:spacing w:before="0" w:after="0"/>
        <w:rPr>
          <w:rFonts w:asciiTheme="majorBidi" w:hAnsiTheme="majorBidi" w:cstheme="majorBidi"/>
          <w:b/>
          <w:bCs/>
          <w:sz w:val="28"/>
          <w:szCs w:val="28"/>
        </w:rPr>
      </w:pPr>
      <w:r w:rsidRPr="00F820F5">
        <w:rPr>
          <w:rFonts w:asciiTheme="majorBidi" w:hAnsiTheme="majorBidi" w:cstheme="majorBidi"/>
          <w:b/>
          <w:bCs/>
          <w:sz w:val="28"/>
          <w:szCs w:val="28"/>
        </w:rPr>
        <w:t>Background</w:t>
      </w:r>
    </w:p>
    <w:p w:rsidR="00025C28" w:rsidRPr="006C6C3C" w:rsidRDefault="00025C28" w:rsidP="00D77610">
      <w:pPr>
        <w:autoSpaceDE w:val="0"/>
        <w:autoSpaceDN w:val="0"/>
        <w:adjustRightInd w:val="0"/>
        <w:spacing w:before="0" w:after="0"/>
        <w:rPr>
          <w:rFonts w:asciiTheme="majorBidi" w:hAnsiTheme="majorBidi" w:cstheme="majorBidi"/>
          <w:sz w:val="20"/>
          <w:szCs w:val="20"/>
        </w:rPr>
      </w:pPr>
    </w:p>
    <w:p w:rsidR="00D77610" w:rsidRPr="006C6C3C" w:rsidRDefault="00D77610" w:rsidP="00D77610">
      <w:pPr>
        <w:autoSpaceDE w:val="0"/>
        <w:autoSpaceDN w:val="0"/>
        <w:adjustRightInd w:val="0"/>
        <w:spacing w:before="0" w:after="0"/>
        <w:jc w:val="both"/>
        <w:rPr>
          <w:rFonts w:asciiTheme="majorBidi" w:hAnsiTheme="majorBidi" w:cstheme="majorBidi"/>
          <w:sz w:val="20"/>
          <w:szCs w:val="20"/>
        </w:rPr>
      </w:pPr>
      <w:r w:rsidRPr="006C6C3C">
        <w:rPr>
          <w:rFonts w:asciiTheme="majorBidi" w:hAnsiTheme="majorBidi" w:cstheme="majorBidi"/>
          <w:sz w:val="20"/>
          <w:szCs w:val="20"/>
        </w:rPr>
        <w:t xml:space="preserve">This Practice Note provides supplementary guidance on ISA 810 – Engagements to Report on Summary Financial Statements. It is read together with the ISA. ISA 810 is effective for engagements </w:t>
      </w:r>
      <w:r w:rsidR="00426461" w:rsidRPr="006C6C3C">
        <w:rPr>
          <w:rFonts w:asciiTheme="majorBidi" w:hAnsiTheme="majorBidi" w:cstheme="majorBidi"/>
          <w:sz w:val="20"/>
          <w:szCs w:val="20"/>
        </w:rPr>
        <w:t xml:space="preserve">to report on summary financial statements </w:t>
      </w:r>
      <w:r w:rsidRPr="006C6C3C">
        <w:rPr>
          <w:rFonts w:asciiTheme="majorBidi" w:hAnsiTheme="majorBidi" w:cstheme="majorBidi"/>
          <w:sz w:val="20"/>
          <w:szCs w:val="20"/>
        </w:rPr>
        <w:t>for periods ending on or after December 15, 2016. The Practice Note is effective the same date as the ISA.</w:t>
      </w:r>
    </w:p>
    <w:p w:rsidR="00D77610" w:rsidRPr="006C6C3C" w:rsidRDefault="00D77610" w:rsidP="00D77610">
      <w:pPr>
        <w:autoSpaceDE w:val="0"/>
        <w:autoSpaceDN w:val="0"/>
        <w:adjustRightInd w:val="0"/>
        <w:spacing w:before="0" w:after="0"/>
        <w:jc w:val="both"/>
        <w:rPr>
          <w:rFonts w:asciiTheme="majorBidi" w:hAnsiTheme="majorBidi" w:cstheme="majorBidi"/>
          <w:sz w:val="20"/>
          <w:szCs w:val="20"/>
        </w:rPr>
      </w:pPr>
    </w:p>
    <w:p w:rsidR="00D77610" w:rsidRPr="00F820F5" w:rsidRDefault="00D77610" w:rsidP="00D77610">
      <w:pPr>
        <w:autoSpaceDE w:val="0"/>
        <w:autoSpaceDN w:val="0"/>
        <w:adjustRightInd w:val="0"/>
        <w:spacing w:before="0" w:after="0"/>
        <w:rPr>
          <w:rFonts w:asciiTheme="majorBidi" w:hAnsiTheme="majorBidi" w:cstheme="majorBidi"/>
          <w:b/>
          <w:sz w:val="28"/>
          <w:szCs w:val="28"/>
        </w:rPr>
      </w:pPr>
      <w:r w:rsidRPr="00F820F5">
        <w:rPr>
          <w:rFonts w:asciiTheme="majorBidi" w:hAnsiTheme="majorBidi" w:cstheme="majorBidi"/>
          <w:b/>
          <w:sz w:val="28"/>
          <w:szCs w:val="28"/>
        </w:rPr>
        <w:t>Introduction to the ISA</w:t>
      </w:r>
    </w:p>
    <w:p w:rsidR="00025C28" w:rsidRPr="006C6C3C" w:rsidRDefault="00025C28" w:rsidP="00D77610">
      <w:pPr>
        <w:autoSpaceDE w:val="0"/>
        <w:autoSpaceDN w:val="0"/>
        <w:adjustRightInd w:val="0"/>
        <w:spacing w:before="0" w:after="0"/>
        <w:rPr>
          <w:rFonts w:asciiTheme="majorBidi" w:hAnsiTheme="majorBidi" w:cstheme="majorBidi"/>
          <w:b/>
          <w:sz w:val="20"/>
          <w:szCs w:val="20"/>
        </w:rPr>
      </w:pPr>
    </w:p>
    <w:p w:rsidR="00D77610" w:rsidRPr="006C6C3C" w:rsidRDefault="00D77610" w:rsidP="00D77610">
      <w:pPr>
        <w:autoSpaceDE w:val="0"/>
        <w:autoSpaceDN w:val="0"/>
        <w:adjustRightInd w:val="0"/>
        <w:spacing w:before="0" w:after="0"/>
        <w:jc w:val="both"/>
        <w:rPr>
          <w:rFonts w:asciiTheme="majorBidi" w:hAnsiTheme="majorBidi" w:cstheme="majorBidi"/>
          <w:sz w:val="20"/>
          <w:szCs w:val="20"/>
        </w:rPr>
      </w:pPr>
      <w:r w:rsidRPr="006C6C3C">
        <w:rPr>
          <w:rFonts w:asciiTheme="majorBidi" w:hAnsiTheme="majorBidi" w:cstheme="majorBidi"/>
          <w:sz w:val="20"/>
          <w:szCs w:val="20"/>
        </w:rPr>
        <w:t>ISA 810 deals with the auditor’s responsibilities relating to an engagement to report on summary financial statements derived from financial statements audited in accordance with ISAs by that same auditor.</w:t>
      </w:r>
    </w:p>
    <w:p w:rsidR="00D77610" w:rsidRPr="006C6C3C" w:rsidRDefault="00D77610" w:rsidP="00D77610">
      <w:pPr>
        <w:autoSpaceDE w:val="0"/>
        <w:autoSpaceDN w:val="0"/>
        <w:adjustRightInd w:val="0"/>
        <w:spacing w:before="0" w:after="0"/>
        <w:jc w:val="both"/>
        <w:rPr>
          <w:rFonts w:asciiTheme="majorBidi" w:hAnsiTheme="majorBidi" w:cstheme="majorBidi"/>
          <w:sz w:val="20"/>
          <w:szCs w:val="20"/>
        </w:rPr>
      </w:pPr>
    </w:p>
    <w:p w:rsidR="00D77610" w:rsidRPr="00F820F5" w:rsidRDefault="00D77610" w:rsidP="00D77610">
      <w:pPr>
        <w:autoSpaceDE w:val="0"/>
        <w:autoSpaceDN w:val="0"/>
        <w:adjustRightInd w:val="0"/>
        <w:spacing w:before="0" w:after="0"/>
        <w:rPr>
          <w:rFonts w:asciiTheme="majorBidi" w:hAnsiTheme="majorBidi" w:cstheme="majorBidi"/>
          <w:b/>
          <w:sz w:val="28"/>
          <w:szCs w:val="28"/>
        </w:rPr>
      </w:pPr>
      <w:r w:rsidRPr="00F820F5">
        <w:rPr>
          <w:rFonts w:asciiTheme="majorBidi" w:hAnsiTheme="majorBidi" w:cstheme="majorBidi"/>
          <w:b/>
          <w:sz w:val="28"/>
          <w:szCs w:val="28"/>
        </w:rPr>
        <w:t>Content of the Practice Note</w:t>
      </w:r>
    </w:p>
    <w:p w:rsidR="00025C28" w:rsidRPr="006C6C3C" w:rsidRDefault="00025C28" w:rsidP="00D77610">
      <w:pPr>
        <w:autoSpaceDE w:val="0"/>
        <w:autoSpaceDN w:val="0"/>
        <w:adjustRightInd w:val="0"/>
        <w:spacing w:before="0" w:after="0"/>
        <w:rPr>
          <w:rFonts w:asciiTheme="majorBidi" w:hAnsiTheme="majorBidi" w:cstheme="majorBidi"/>
          <w:b/>
          <w:sz w:val="20"/>
          <w:szCs w:val="20"/>
        </w:rPr>
      </w:pPr>
    </w:p>
    <w:p w:rsidR="00D77610" w:rsidRPr="006C6C3C" w:rsidRDefault="00D77610" w:rsidP="00D77610">
      <w:pPr>
        <w:autoSpaceDE w:val="0"/>
        <w:autoSpaceDN w:val="0"/>
        <w:adjustRightInd w:val="0"/>
        <w:spacing w:before="0" w:after="0"/>
        <w:jc w:val="both"/>
        <w:rPr>
          <w:rFonts w:asciiTheme="majorBidi" w:hAnsiTheme="majorBidi" w:cstheme="majorBidi"/>
          <w:sz w:val="20"/>
          <w:szCs w:val="20"/>
        </w:rPr>
      </w:pPr>
      <w:r w:rsidRPr="006C6C3C">
        <w:rPr>
          <w:rFonts w:asciiTheme="majorBidi" w:hAnsiTheme="majorBidi" w:cstheme="majorBidi"/>
          <w:sz w:val="20"/>
          <w:szCs w:val="20"/>
        </w:rPr>
        <w:t>P1. The Practice Note provides additional guidance for public sector auditors related to:</w:t>
      </w:r>
    </w:p>
    <w:p w:rsidR="00D77610" w:rsidRPr="006C6C3C" w:rsidRDefault="001B1FF6" w:rsidP="001B1FF6">
      <w:pPr>
        <w:autoSpaceDE w:val="0"/>
        <w:autoSpaceDN w:val="0"/>
        <w:adjustRightInd w:val="0"/>
        <w:spacing w:before="0" w:after="0"/>
        <w:jc w:val="both"/>
        <w:rPr>
          <w:rFonts w:asciiTheme="majorBidi" w:hAnsiTheme="majorBidi" w:cstheme="majorBidi"/>
          <w:sz w:val="20"/>
          <w:szCs w:val="20"/>
        </w:rPr>
      </w:pPr>
      <w:r>
        <w:rPr>
          <w:rFonts w:asciiTheme="majorBidi" w:hAnsiTheme="majorBidi" w:cstheme="majorBidi"/>
          <w:sz w:val="20"/>
          <w:szCs w:val="20"/>
        </w:rPr>
        <w:t xml:space="preserve">      </w:t>
      </w:r>
      <w:r w:rsidR="00D77610" w:rsidRPr="006C6C3C">
        <w:rPr>
          <w:rFonts w:asciiTheme="majorBidi" w:hAnsiTheme="majorBidi" w:cstheme="majorBidi"/>
          <w:sz w:val="20"/>
          <w:szCs w:val="20"/>
        </w:rPr>
        <w:t xml:space="preserve">(a) Auditor’s Report </w:t>
      </w:r>
      <w:r>
        <w:rPr>
          <w:rFonts w:asciiTheme="majorBidi" w:hAnsiTheme="majorBidi" w:cstheme="majorBidi"/>
          <w:sz w:val="20"/>
          <w:szCs w:val="20"/>
        </w:rPr>
        <w:t>on Summary Financial Statements</w:t>
      </w:r>
    </w:p>
    <w:p w:rsidR="00D77610" w:rsidRPr="006C6C3C" w:rsidRDefault="001B1FF6" w:rsidP="00D77610">
      <w:pPr>
        <w:autoSpaceDE w:val="0"/>
        <w:autoSpaceDN w:val="0"/>
        <w:adjustRightInd w:val="0"/>
        <w:spacing w:before="0" w:after="0"/>
        <w:jc w:val="both"/>
        <w:rPr>
          <w:rFonts w:asciiTheme="majorBidi" w:hAnsiTheme="majorBidi" w:cstheme="majorBidi"/>
          <w:sz w:val="20"/>
          <w:szCs w:val="20"/>
        </w:rPr>
      </w:pPr>
      <w:r>
        <w:rPr>
          <w:rFonts w:asciiTheme="majorBidi" w:hAnsiTheme="majorBidi" w:cstheme="majorBidi"/>
          <w:sz w:val="20"/>
          <w:szCs w:val="20"/>
        </w:rPr>
        <w:t xml:space="preserve">      </w:t>
      </w:r>
      <w:r w:rsidR="00D77610" w:rsidRPr="006C6C3C">
        <w:rPr>
          <w:rFonts w:asciiTheme="majorBidi" w:hAnsiTheme="majorBidi" w:cstheme="majorBidi"/>
          <w:sz w:val="20"/>
          <w:szCs w:val="20"/>
        </w:rPr>
        <w:t>(b) Restriction on Distribution or Use or Alerting Rea</w:t>
      </w:r>
      <w:r>
        <w:rPr>
          <w:rFonts w:asciiTheme="majorBidi" w:hAnsiTheme="majorBidi" w:cstheme="majorBidi"/>
          <w:sz w:val="20"/>
          <w:szCs w:val="20"/>
        </w:rPr>
        <w:t>ders to the Basis of Accounting</w:t>
      </w:r>
    </w:p>
    <w:p w:rsidR="00D77610" w:rsidRPr="006C6C3C" w:rsidRDefault="001B1FF6" w:rsidP="00D77610">
      <w:pPr>
        <w:autoSpaceDE w:val="0"/>
        <w:autoSpaceDN w:val="0"/>
        <w:adjustRightInd w:val="0"/>
        <w:spacing w:before="0" w:after="0"/>
        <w:jc w:val="both"/>
        <w:rPr>
          <w:rFonts w:asciiTheme="majorBidi" w:hAnsiTheme="majorBidi" w:cstheme="majorBidi"/>
          <w:sz w:val="20"/>
          <w:szCs w:val="20"/>
        </w:rPr>
      </w:pPr>
      <w:r>
        <w:rPr>
          <w:rFonts w:asciiTheme="majorBidi" w:hAnsiTheme="majorBidi" w:cstheme="majorBidi"/>
          <w:sz w:val="20"/>
          <w:szCs w:val="20"/>
        </w:rPr>
        <w:t xml:space="preserve">      (c) Auditor Association</w:t>
      </w:r>
    </w:p>
    <w:p w:rsidR="00D77610" w:rsidRPr="006C6C3C" w:rsidRDefault="00D77610" w:rsidP="00D77610">
      <w:pPr>
        <w:autoSpaceDE w:val="0"/>
        <w:autoSpaceDN w:val="0"/>
        <w:adjustRightInd w:val="0"/>
        <w:spacing w:before="0" w:after="0"/>
        <w:jc w:val="both"/>
        <w:rPr>
          <w:rFonts w:asciiTheme="majorBidi" w:hAnsiTheme="majorBidi" w:cstheme="majorBidi"/>
          <w:sz w:val="20"/>
          <w:szCs w:val="20"/>
        </w:rPr>
      </w:pPr>
    </w:p>
    <w:p w:rsidR="00D77610" w:rsidRPr="00F820F5" w:rsidRDefault="00D77610" w:rsidP="00D77610">
      <w:pPr>
        <w:autoSpaceDE w:val="0"/>
        <w:autoSpaceDN w:val="0"/>
        <w:adjustRightInd w:val="0"/>
        <w:spacing w:before="0" w:after="0"/>
        <w:rPr>
          <w:rFonts w:asciiTheme="majorBidi" w:hAnsiTheme="majorBidi" w:cstheme="majorBidi"/>
          <w:b/>
          <w:bCs/>
          <w:sz w:val="28"/>
          <w:szCs w:val="28"/>
        </w:rPr>
      </w:pPr>
      <w:r w:rsidRPr="00F820F5">
        <w:rPr>
          <w:rFonts w:asciiTheme="majorBidi" w:hAnsiTheme="majorBidi" w:cstheme="majorBidi"/>
          <w:b/>
          <w:bCs/>
          <w:sz w:val="28"/>
          <w:szCs w:val="28"/>
        </w:rPr>
        <w:t>Applicability of the ISA in Public Sector Auditing</w:t>
      </w:r>
    </w:p>
    <w:p w:rsidR="00025C28" w:rsidRPr="006C6C3C" w:rsidRDefault="00025C28" w:rsidP="00D77610">
      <w:pPr>
        <w:autoSpaceDE w:val="0"/>
        <w:autoSpaceDN w:val="0"/>
        <w:adjustRightInd w:val="0"/>
        <w:spacing w:before="0" w:after="0"/>
        <w:rPr>
          <w:rFonts w:asciiTheme="majorBidi" w:hAnsiTheme="majorBidi" w:cstheme="majorBidi"/>
          <w:b/>
          <w:bCs/>
          <w:sz w:val="20"/>
          <w:szCs w:val="20"/>
        </w:rPr>
      </w:pPr>
    </w:p>
    <w:p w:rsidR="00D77610" w:rsidRPr="006C6C3C" w:rsidRDefault="00D77610" w:rsidP="00D77610">
      <w:pPr>
        <w:autoSpaceDE w:val="0"/>
        <w:autoSpaceDN w:val="0"/>
        <w:adjustRightInd w:val="0"/>
        <w:spacing w:before="0" w:after="0"/>
        <w:jc w:val="both"/>
        <w:rPr>
          <w:rFonts w:asciiTheme="majorBidi" w:hAnsiTheme="majorBidi" w:cstheme="majorBidi"/>
          <w:sz w:val="20"/>
          <w:szCs w:val="20"/>
        </w:rPr>
      </w:pPr>
      <w:r w:rsidRPr="006C6C3C">
        <w:rPr>
          <w:rFonts w:asciiTheme="majorBidi" w:hAnsiTheme="majorBidi" w:cstheme="majorBidi"/>
          <w:sz w:val="20"/>
          <w:szCs w:val="20"/>
        </w:rPr>
        <w:t>P2. ISA 810 is applicable to auditors of public sector entities when engaged to report on summary financial statements.</w:t>
      </w:r>
    </w:p>
    <w:p w:rsidR="00D77610" w:rsidRPr="006C6C3C" w:rsidRDefault="00D77610" w:rsidP="00D77610">
      <w:pPr>
        <w:autoSpaceDE w:val="0"/>
        <w:autoSpaceDN w:val="0"/>
        <w:adjustRightInd w:val="0"/>
        <w:spacing w:before="0" w:after="0"/>
        <w:jc w:val="both"/>
        <w:rPr>
          <w:rFonts w:asciiTheme="majorBidi" w:hAnsiTheme="majorBidi" w:cstheme="majorBidi"/>
          <w:sz w:val="20"/>
          <w:szCs w:val="20"/>
        </w:rPr>
      </w:pPr>
    </w:p>
    <w:p w:rsidR="00D77610" w:rsidRPr="00F820F5" w:rsidRDefault="00D77610" w:rsidP="00D77610">
      <w:pPr>
        <w:autoSpaceDE w:val="0"/>
        <w:autoSpaceDN w:val="0"/>
        <w:adjustRightInd w:val="0"/>
        <w:spacing w:before="0" w:after="0"/>
        <w:rPr>
          <w:rFonts w:asciiTheme="majorBidi" w:hAnsiTheme="majorBidi" w:cstheme="majorBidi"/>
          <w:b/>
          <w:bCs/>
          <w:sz w:val="28"/>
          <w:szCs w:val="28"/>
        </w:rPr>
      </w:pPr>
      <w:r w:rsidRPr="00F820F5">
        <w:rPr>
          <w:rFonts w:asciiTheme="majorBidi" w:hAnsiTheme="majorBidi" w:cstheme="majorBidi"/>
          <w:b/>
          <w:bCs/>
          <w:sz w:val="28"/>
          <w:szCs w:val="28"/>
        </w:rPr>
        <w:t>Additional Guidance on Public Sector Issues</w:t>
      </w:r>
    </w:p>
    <w:p w:rsidR="00025C28" w:rsidRPr="006C6C3C" w:rsidRDefault="00025C28" w:rsidP="00D77610">
      <w:pPr>
        <w:autoSpaceDE w:val="0"/>
        <w:autoSpaceDN w:val="0"/>
        <w:adjustRightInd w:val="0"/>
        <w:spacing w:before="0" w:after="0"/>
        <w:rPr>
          <w:rFonts w:asciiTheme="majorBidi" w:hAnsiTheme="majorBidi" w:cstheme="majorBidi"/>
          <w:b/>
          <w:bCs/>
          <w:sz w:val="20"/>
          <w:szCs w:val="20"/>
        </w:rPr>
      </w:pPr>
    </w:p>
    <w:p w:rsidR="00D77610" w:rsidRPr="00DD41BB" w:rsidRDefault="00D77610" w:rsidP="00D77610">
      <w:pPr>
        <w:autoSpaceDE w:val="0"/>
        <w:autoSpaceDN w:val="0"/>
        <w:adjustRightInd w:val="0"/>
        <w:spacing w:before="0" w:after="0"/>
        <w:rPr>
          <w:rFonts w:asciiTheme="majorBidi" w:hAnsiTheme="majorBidi" w:cstheme="majorBidi"/>
          <w:bCs/>
          <w:sz w:val="28"/>
          <w:szCs w:val="28"/>
        </w:rPr>
      </w:pPr>
      <w:r w:rsidRPr="00DD41BB">
        <w:rPr>
          <w:rFonts w:asciiTheme="majorBidi" w:hAnsiTheme="majorBidi" w:cstheme="majorBidi"/>
          <w:bCs/>
          <w:sz w:val="28"/>
          <w:szCs w:val="28"/>
        </w:rPr>
        <w:t>Auditor’s Report on Summary Financial Statements</w:t>
      </w:r>
    </w:p>
    <w:p w:rsidR="00025C28" w:rsidRPr="006C6C3C" w:rsidRDefault="00025C28" w:rsidP="00D77610">
      <w:pPr>
        <w:autoSpaceDE w:val="0"/>
        <w:autoSpaceDN w:val="0"/>
        <w:adjustRightInd w:val="0"/>
        <w:spacing w:before="0" w:after="0"/>
        <w:rPr>
          <w:rFonts w:asciiTheme="majorBidi" w:hAnsiTheme="majorBidi" w:cstheme="majorBidi"/>
          <w:b/>
          <w:sz w:val="20"/>
          <w:szCs w:val="20"/>
        </w:rPr>
      </w:pPr>
    </w:p>
    <w:p w:rsidR="00D77610" w:rsidRDefault="00D77610" w:rsidP="001B1FF6">
      <w:pPr>
        <w:autoSpaceDE w:val="0"/>
        <w:autoSpaceDN w:val="0"/>
        <w:adjustRightInd w:val="0"/>
        <w:spacing w:before="0" w:after="0"/>
        <w:ind w:left="360" w:hanging="360"/>
        <w:jc w:val="both"/>
        <w:rPr>
          <w:rFonts w:asciiTheme="majorBidi" w:hAnsiTheme="majorBidi" w:cstheme="majorBidi"/>
          <w:sz w:val="20"/>
          <w:szCs w:val="20"/>
        </w:rPr>
      </w:pPr>
      <w:r w:rsidRPr="006C6C3C">
        <w:rPr>
          <w:rFonts w:asciiTheme="majorBidi" w:hAnsiTheme="majorBidi" w:cstheme="majorBidi"/>
          <w:sz w:val="20"/>
          <w:szCs w:val="20"/>
        </w:rPr>
        <w:t xml:space="preserve">P3. </w:t>
      </w:r>
      <w:r w:rsidR="001B1FF6">
        <w:rPr>
          <w:rFonts w:asciiTheme="majorBidi" w:hAnsiTheme="majorBidi" w:cstheme="majorBidi"/>
          <w:sz w:val="20"/>
          <w:szCs w:val="20"/>
        </w:rPr>
        <w:t xml:space="preserve"> </w:t>
      </w:r>
      <w:r w:rsidRPr="006C6C3C">
        <w:rPr>
          <w:rFonts w:asciiTheme="majorBidi" w:hAnsiTheme="majorBidi" w:cstheme="majorBidi"/>
          <w:sz w:val="20"/>
          <w:szCs w:val="20"/>
        </w:rPr>
        <w:t>In reporting on the financial statements from which the summary financial statements have been derived, public sector auditors might have expressed an opinion in addition to the opinion whether the financial statements have been prepared, in all material respects, in accordance with the applicable financial reporting framework. For example, public sector auditors might have reported on whether they have found any instances of non-compliance with authorities including budget and accountability, or expressed an opinion on the effectiveness of internal control. In such cases, in addition to the requirements set out in paragraph 1</w:t>
      </w:r>
      <w:r w:rsidR="00EA5C68" w:rsidRPr="006C6C3C">
        <w:rPr>
          <w:rFonts w:asciiTheme="majorBidi" w:hAnsiTheme="majorBidi" w:cstheme="majorBidi"/>
          <w:sz w:val="20"/>
          <w:szCs w:val="20"/>
        </w:rPr>
        <w:t>6</w:t>
      </w:r>
      <w:r w:rsidRPr="006C6C3C">
        <w:rPr>
          <w:rFonts w:asciiTheme="majorBidi" w:hAnsiTheme="majorBidi" w:cstheme="majorBidi"/>
          <w:sz w:val="20"/>
          <w:szCs w:val="20"/>
        </w:rPr>
        <w:t xml:space="preserve"> of the ISA, public sector auditors include a reference to such an additional opinion in the auditor’s report on the summary financial statements.</w:t>
      </w:r>
    </w:p>
    <w:p w:rsidR="00025C28" w:rsidRPr="006C6C3C" w:rsidRDefault="00025C28" w:rsidP="00D77610">
      <w:pPr>
        <w:autoSpaceDE w:val="0"/>
        <w:autoSpaceDN w:val="0"/>
        <w:adjustRightInd w:val="0"/>
        <w:spacing w:before="0" w:after="0"/>
        <w:jc w:val="both"/>
        <w:rPr>
          <w:rFonts w:asciiTheme="majorBidi" w:hAnsiTheme="majorBidi" w:cstheme="majorBidi"/>
          <w:sz w:val="20"/>
          <w:szCs w:val="20"/>
        </w:rPr>
      </w:pPr>
    </w:p>
    <w:p w:rsidR="00D77610" w:rsidRDefault="00D77610" w:rsidP="001B1FF6">
      <w:pPr>
        <w:autoSpaceDE w:val="0"/>
        <w:autoSpaceDN w:val="0"/>
        <w:adjustRightInd w:val="0"/>
        <w:spacing w:before="0" w:after="0"/>
        <w:ind w:left="360" w:hanging="360"/>
        <w:jc w:val="both"/>
        <w:rPr>
          <w:rFonts w:asciiTheme="majorBidi" w:hAnsiTheme="majorBidi" w:cstheme="majorBidi"/>
          <w:sz w:val="20"/>
          <w:szCs w:val="20"/>
        </w:rPr>
      </w:pPr>
      <w:r w:rsidRPr="006C6C3C">
        <w:rPr>
          <w:rFonts w:asciiTheme="majorBidi" w:hAnsiTheme="majorBidi" w:cstheme="majorBidi"/>
          <w:sz w:val="20"/>
          <w:szCs w:val="20"/>
        </w:rPr>
        <w:t>P4. In the public sector, the elements of the auditor’s report, including the form and wording of the opinion may be prescribed by law or regulation or defined by the audit mandate. In such circumstances, public sector auditors apply the prescribed wording, taking into account paragraph 10 of the ISA.</w:t>
      </w:r>
    </w:p>
    <w:p w:rsidR="00025C28" w:rsidRPr="006C6C3C" w:rsidRDefault="00025C28" w:rsidP="00D77610">
      <w:pPr>
        <w:autoSpaceDE w:val="0"/>
        <w:autoSpaceDN w:val="0"/>
        <w:adjustRightInd w:val="0"/>
        <w:spacing w:before="0" w:after="0"/>
        <w:jc w:val="both"/>
        <w:rPr>
          <w:rFonts w:asciiTheme="majorBidi" w:hAnsiTheme="majorBidi" w:cstheme="majorBidi"/>
          <w:sz w:val="20"/>
          <w:szCs w:val="20"/>
        </w:rPr>
      </w:pPr>
    </w:p>
    <w:p w:rsidR="00D77610" w:rsidRPr="006C6C3C" w:rsidRDefault="00D77610" w:rsidP="001B1FF6">
      <w:pPr>
        <w:autoSpaceDE w:val="0"/>
        <w:autoSpaceDN w:val="0"/>
        <w:adjustRightInd w:val="0"/>
        <w:spacing w:before="0" w:after="0"/>
        <w:ind w:left="360" w:hanging="360"/>
        <w:jc w:val="both"/>
        <w:rPr>
          <w:rFonts w:asciiTheme="majorBidi" w:hAnsiTheme="majorBidi" w:cstheme="majorBidi"/>
          <w:sz w:val="20"/>
          <w:szCs w:val="20"/>
        </w:rPr>
      </w:pPr>
      <w:r w:rsidRPr="006C6C3C">
        <w:rPr>
          <w:rFonts w:asciiTheme="majorBidi" w:hAnsiTheme="majorBidi" w:cstheme="majorBidi"/>
          <w:sz w:val="20"/>
          <w:szCs w:val="20"/>
        </w:rPr>
        <w:t>P5. Paragraph 1</w:t>
      </w:r>
      <w:r w:rsidR="00EA5C68" w:rsidRPr="006C6C3C">
        <w:rPr>
          <w:rFonts w:asciiTheme="majorBidi" w:hAnsiTheme="majorBidi" w:cstheme="majorBidi"/>
          <w:sz w:val="20"/>
          <w:szCs w:val="20"/>
        </w:rPr>
        <w:t>9</w:t>
      </w:r>
      <w:r w:rsidRPr="006C6C3C">
        <w:rPr>
          <w:rFonts w:asciiTheme="majorBidi" w:hAnsiTheme="majorBidi" w:cstheme="majorBidi"/>
          <w:sz w:val="20"/>
          <w:szCs w:val="20"/>
        </w:rPr>
        <w:t xml:space="preserve"> of the ISA also applies in circumstances where the public sector auditor’s report on the financial statements from which the summary financial statements have been derived includes a qualified opinion, an Emphasis of Matter paragraph</w:t>
      </w:r>
      <w:r w:rsidR="00426461" w:rsidRPr="006C6C3C">
        <w:rPr>
          <w:rFonts w:asciiTheme="majorBidi" w:hAnsiTheme="majorBidi" w:cstheme="majorBidi"/>
          <w:sz w:val="20"/>
          <w:szCs w:val="20"/>
        </w:rPr>
        <w:t>,</w:t>
      </w:r>
      <w:r w:rsidRPr="006C6C3C">
        <w:rPr>
          <w:rFonts w:asciiTheme="majorBidi" w:hAnsiTheme="majorBidi" w:cstheme="majorBidi"/>
          <w:sz w:val="20"/>
          <w:szCs w:val="20"/>
        </w:rPr>
        <w:t xml:space="preserve"> an Other Matter paragraph, a Material Uncertainty Related to Going Concern</w:t>
      </w:r>
      <w:r w:rsidR="00EA5C68" w:rsidRPr="006C6C3C">
        <w:rPr>
          <w:rFonts w:asciiTheme="majorBidi" w:hAnsiTheme="majorBidi" w:cstheme="majorBidi"/>
          <w:sz w:val="20"/>
          <w:szCs w:val="20"/>
        </w:rPr>
        <w:t xml:space="preserve"> section</w:t>
      </w:r>
      <w:r w:rsidRPr="006C6C3C">
        <w:rPr>
          <w:rFonts w:asciiTheme="majorBidi" w:hAnsiTheme="majorBidi" w:cstheme="majorBidi"/>
          <w:sz w:val="20"/>
          <w:szCs w:val="20"/>
        </w:rPr>
        <w:t>, communication of key audit matters or a statement that describes an uncorrected material misstatement of the other information.</w:t>
      </w:r>
    </w:p>
    <w:p w:rsidR="00D77610" w:rsidRDefault="00D77610" w:rsidP="00D77610">
      <w:pPr>
        <w:autoSpaceDE w:val="0"/>
        <w:autoSpaceDN w:val="0"/>
        <w:adjustRightInd w:val="0"/>
        <w:spacing w:before="0" w:after="0"/>
        <w:jc w:val="both"/>
        <w:rPr>
          <w:rFonts w:asciiTheme="majorBidi" w:hAnsiTheme="majorBidi" w:cstheme="majorBidi"/>
          <w:sz w:val="20"/>
          <w:szCs w:val="20"/>
        </w:rPr>
      </w:pPr>
    </w:p>
    <w:p w:rsidR="00025C28" w:rsidRDefault="00025C28" w:rsidP="00D77610">
      <w:pPr>
        <w:autoSpaceDE w:val="0"/>
        <w:autoSpaceDN w:val="0"/>
        <w:adjustRightInd w:val="0"/>
        <w:spacing w:before="0" w:after="0"/>
        <w:jc w:val="both"/>
        <w:rPr>
          <w:rFonts w:asciiTheme="majorBidi" w:hAnsiTheme="majorBidi" w:cstheme="majorBidi"/>
          <w:sz w:val="20"/>
          <w:szCs w:val="20"/>
        </w:rPr>
      </w:pPr>
    </w:p>
    <w:p w:rsidR="00025C28" w:rsidRDefault="00025C28" w:rsidP="00D77610">
      <w:pPr>
        <w:autoSpaceDE w:val="0"/>
        <w:autoSpaceDN w:val="0"/>
        <w:adjustRightInd w:val="0"/>
        <w:spacing w:before="0" w:after="0"/>
        <w:jc w:val="both"/>
        <w:rPr>
          <w:rFonts w:asciiTheme="majorBidi" w:hAnsiTheme="majorBidi" w:cstheme="majorBidi"/>
          <w:sz w:val="20"/>
          <w:szCs w:val="20"/>
        </w:rPr>
      </w:pPr>
    </w:p>
    <w:p w:rsidR="00025C28" w:rsidRDefault="00025C28" w:rsidP="00D77610">
      <w:pPr>
        <w:autoSpaceDE w:val="0"/>
        <w:autoSpaceDN w:val="0"/>
        <w:adjustRightInd w:val="0"/>
        <w:spacing w:before="0" w:after="0"/>
        <w:jc w:val="both"/>
        <w:rPr>
          <w:rFonts w:asciiTheme="majorBidi" w:hAnsiTheme="majorBidi" w:cstheme="majorBidi"/>
          <w:sz w:val="20"/>
          <w:szCs w:val="20"/>
        </w:rPr>
      </w:pPr>
    </w:p>
    <w:p w:rsidR="00025C28" w:rsidRDefault="00025C28" w:rsidP="00D77610">
      <w:pPr>
        <w:autoSpaceDE w:val="0"/>
        <w:autoSpaceDN w:val="0"/>
        <w:adjustRightInd w:val="0"/>
        <w:spacing w:before="0" w:after="0"/>
        <w:jc w:val="both"/>
        <w:rPr>
          <w:rFonts w:asciiTheme="majorBidi" w:hAnsiTheme="majorBidi" w:cstheme="majorBidi"/>
          <w:sz w:val="20"/>
          <w:szCs w:val="20"/>
        </w:rPr>
      </w:pPr>
    </w:p>
    <w:p w:rsidR="00025C28" w:rsidRDefault="00025C28" w:rsidP="00D77610">
      <w:pPr>
        <w:autoSpaceDE w:val="0"/>
        <w:autoSpaceDN w:val="0"/>
        <w:adjustRightInd w:val="0"/>
        <w:spacing w:before="0" w:after="0"/>
        <w:jc w:val="both"/>
        <w:rPr>
          <w:rFonts w:asciiTheme="majorBidi" w:hAnsiTheme="majorBidi" w:cstheme="majorBidi"/>
          <w:sz w:val="20"/>
          <w:szCs w:val="20"/>
        </w:rPr>
      </w:pPr>
    </w:p>
    <w:p w:rsidR="00D77610" w:rsidRPr="00DD41BB" w:rsidRDefault="00D77610" w:rsidP="00D77610">
      <w:pPr>
        <w:autoSpaceDE w:val="0"/>
        <w:autoSpaceDN w:val="0"/>
        <w:adjustRightInd w:val="0"/>
        <w:spacing w:before="0" w:after="0"/>
        <w:rPr>
          <w:rFonts w:asciiTheme="majorBidi" w:hAnsiTheme="majorBidi" w:cstheme="majorBidi"/>
          <w:bCs/>
          <w:sz w:val="28"/>
          <w:szCs w:val="28"/>
        </w:rPr>
      </w:pPr>
      <w:r w:rsidRPr="00DD41BB">
        <w:rPr>
          <w:rFonts w:asciiTheme="majorBidi" w:hAnsiTheme="majorBidi" w:cstheme="majorBidi"/>
          <w:bCs/>
          <w:sz w:val="28"/>
          <w:szCs w:val="28"/>
        </w:rPr>
        <w:t>Restriction on Distribution or Use or Alerting Readers to the Basis of Accounting</w:t>
      </w:r>
    </w:p>
    <w:p w:rsidR="00025C28" w:rsidRPr="006C6C3C" w:rsidRDefault="00025C28" w:rsidP="00D77610">
      <w:pPr>
        <w:autoSpaceDE w:val="0"/>
        <w:autoSpaceDN w:val="0"/>
        <w:adjustRightInd w:val="0"/>
        <w:spacing w:before="0" w:after="0"/>
        <w:rPr>
          <w:rFonts w:asciiTheme="majorBidi" w:hAnsiTheme="majorBidi" w:cstheme="majorBidi"/>
          <w:b/>
          <w:sz w:val="20"/>
          <w:szCs w:val="20"/>
        </w:rPr>
      </w:pPr>
    </w:p>
    <w:p w:rsidR="00D77610" w:rsidRPr="006C6C3C" w:rsidRDefault="00D77610" w:rsidP="001B1FF6">
      <w:pPr>
        <w:autoSpaceDE w:val="0"/>
        <w:autoSpaceDN w:val="0"/>
        <w:adjustRightInd w:val="0"/>
        <w:spacing w:before="0" w:after="0"/>
        <w:ind w:left="360" w:hanging="360"/>
        <w:jc w:val="both"/>
        <w:rPr>
          <w:rFonts w:asciiTheme="majorBidi" w:hAnsiTheme="majorBidi" w:cstheme="majorBidi"/>
          <w:sz w:val="20"/>
          <w:szCs w:val="20"/>
        </w:rPr>
      </w:pPr>
      <w:r w:rsidRPr="006C6C3C">
        <w:rPr>
          <w:rFonts w:asciiTheme="majorBidi" w:hAnsiTheme="majorBidi" w:cstheme="majorBidi"/>
          <w:sz w:val="20"/>
          <w:szCs w:val="20"/>
        </w:rPr>
        <w:t>P6. Taking into account paragraph 2</w:t>
      </w:r>
      <w:r w:rsidR="00904F35" w:rsidRPr="006C6C3C">
        <w:rPr>
          <w:rFonts w:asciiTheme="majorBidi" w:hAnsiTheme="majorBidi" w:cstheme="majorBidi"/>
          <w:sz w:val="20"/>
          <w:szCs w:val="20"/>
        </w:rPr>
        <w:t>2</w:t>
      </w:r>
      <w:r w:rsidRPr="006C6C3C">
        <w:rPr>
          <w:rFonts w:asciiTheme="majorBidi" w:hAnsiTheme="majorBidi" w:cstheme="majorBidi"/>
          <w:sz w:val="20"/>
          <w:szCs w:val="20"/>
        </w:rPr>
        <w:t xml:space="preserve"> of the ISA, restricting the distribution or use of a public sector auditor’s report normally is not an option as the auditor’s report ordinarily is a public document.</w:t>
      </w:r>
    </w:p>
    <w:p w:rsidR="00D77610" w:rsidRPr="006C6C3C" w:rsidRDefault="00D77610" w:rsidP="00D77610">
      <w:pPr>
        <w:autoSpaceDE w:val="0"/>
        <w:autoSpaceDN w:val="0"/>
        <w:adjustRightInd w:val="0"/>
        <w:spacing w:before="0" w:after="0"/>
        <w:jc w:val="both"/>
        <w:rPr>
          <w:rFonts w:asciiTheme="majorBidi" w:hAnsiTheme="majorBidi" w:cstheme="majorBidi"/>
          <w:b/>
          <w:sz w:val="20"/>
          <w:szCs w:val="20"/>
        </w:rPr>
      </w:pPr>
    </w:p>
    <w:p w:rsidR="00D77610" w:rsidRPr="00DD41BB" w:rsidRDefault="00D77610" w:rsidP="00D77610">
      <w:pPr>
        <w:autoSpaceDE w:val="0"/>
        <w:autoSpaceDN w:val="0"/>
        <w:adjustRightInd w:val="0"/>
        <w:spacing w:before="0" w:after="0"/>
        <w:jc w:val="both"/>
        <w:rPr>
          <w:rFonts w:asciiTheme="majorBidi" w:hAnsiTheme="majorBidi" w:cstheme="majorBidi"/>
          <w:bCs/>
          <w:sz w:val="28"/>
          <w:szCs w:val="28"/>
        </w:rPr>
      </w:pPr>
      <w:r w:rsidRPr="00DD41BB">
        <w:rPr>
          <w:rFonts w:asciiTheme="majorBidi" w:hAnsiTheme="majorBidi" w:cstheme="majorBidi"/>
          <w:bCs/>
          <w:sz w:val="28"/>
          <w:szCs w:val="28"/>
        </w:rPr>
        <w:t>Auditor Association</w:t>
      </w:r>
    </w:p>
    <w:p w:rsidR="00025C28" w:rsidRPr="006C6C3C" w:rsidRDefault="00025C28" w:rsidP="00D77610">
      <w:pPr>
        <w:autoSpaceDE w:val="0"/>
        <w:autoSpaceDN w:val="0"/>
        <w:adjustRightInd w:val="0"/>
        <w:spacing w:before="0" w:after="0"/>
        <w:jc w:val="both"/>
        <w:rPr>
          <w:rFonts w:asciiTheme="majorBidi" w:hAnsiTheme="majorBidi" w:cstheme="majorBidi"/>
          <w:b/>
          <w:sz w:val="20"/>
          <w:szCs w:val="20"/>
        </w:rPr>
      </w:pPr>
    </w:p>
    <w:p w:rsidR="00D77610" w:rsidRPr="006C6C3C" w:rsidRDefault="00D77610" w:rsidP="001B1FF6">
      <w:pPr>
        <w:autoSpaceDE w:val="0"/>
        <w:autoSpaceDN w:val="0"/>
        <w:adjustRightInd w:val="0"/>
        <w:spacing w:before="0" w:after="0"/>
        <w:ind w:left="360" w:hanging="360"/>
        <w:jc w:val="both"/>
        <w:rPr>
          <w:rFonts w:asciiTheme="majorBidi" w:hAnsiTheme="majorBidi" w:cstheme="majorBidi"/>
          <w:sz w:val="20"/>
          <w:szCs w:val="20"/>
        </w:rPr>
      </w:pPr>
      <w:r w:rsidRPr="006C6C3C">
        <w:rPr>
          <w:rFonts w:asciiTheme="majorBidi" w:hAnsiTheme="majorBidi" w:cstheme="majorBidi"/>
          <w:sz w:val="20"/>
          <w:szCs w:val="20"/>
        </w:rPr>
        <w:t>P7. Paragraphs 2</w:t>
      </w:r>
      <w:r w:rsidR="00EA5C68" w:rsidRPr="006C6C3C">
        <w:rPr>
          <w:rFonts w:asciiTheme="majorBidi" w:hAnsiTheme="majorBidi" w:cstheme="majorBidi"/>
          <w:sz w:val="20"/>
          <w:szCs w:val="20"/>
        </w:rPr>
        <w:t>6</w:t>
      </w:r>
      <w:r w:rsidRPr="006C6C3C">
        <w:rPr>
          <w:rFonts w:asciiTheme="majorBidi" w:hAnsiTheme="majorBidi" w:cstheme="majorBidi"/>
          <w:sz w:val="20"/>
          <w:szCs w:val="20"/>
        </w:rPr>
        <w:t xml:space="preserve"> to 2</w:t>
      </w:r>
      <w:r w:rsidR="00EA5C68" w:rsidRPr="006C6C3C">
        <w:rPr>
          <w:rFonts w:asciiTheme="majorBidi" w:hAnsiTheme="majorBidi" w:cstheme="majorBidi"/>
          <w:sz w:val="20"/>
          <w:szCs w:val="20"/>
        </w:rPr>
        <w:t>7</w:t>
      </w:r>
      <w:r w:rsidRPr="006C6C3C">
        <w:rPr>
          <w:rFonts w:asciiTheme="majorBidi" w:hAnsiTheme="majorBidi" w:cstheme="majorBidi"/>
          <w:sz w:val="20"/>
          <w:szCs w:val="20"/>
        </w:rPr>
        <w:t xml:space="preserve"> of the ISA require the auditor to take action to avoid being associated with summary financial statements on which the auditor has not reported. Public sector auditors may also take other action depending on relevant legislation and the audit mandate. Such action may include formal reports to the legislature.</w:t>
      </w:r>
    </w:p>
    <w:p w:rsidR="00B16F64" w:rsidRPr="006C6C3C" w:rsidRDefault="00B16F64" w:rsidP="007B6AA5">
      <w:pPr>
        <w:rPr>
          <w:rFonts w:asciiTheme="majorBidi" w:hAnsiTheme="majorBidi" w:cstheme="majorBidi"/>
        </w:rPr>
      </w:pPr>
    </w:p>
    <w:sectPr w:rsidR="00B16F64" w:rsidRPr="006C6C3C" w:rsidSect="002C249D">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720" w:right="720" w:bottom="720" w:left="1134" w:header="113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C2D" w:rsidRDefault="00944C2D">
      <w:r>
        <w:separator/>
      </w:r>
    </w:p>
  </w:endnote>
  <w:endnote w:type="continuationSeparator" w:id="0">
    <w:p w:rsidR="00944C2D" w:rsidRDefault="00944C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B24" w:rsidRDefault="00F36B24">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AA5" w:rsidRDefault="007B6AA5">
    <w:pPr>
      <w:tabs>
        <w:tab w:val="center" w:pos="4253"/>
        <w:tab w:val="right" w:pos="878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B24" w:rsidRDefault="00F36B2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C2D" w:rsidRDefault="00944C2D">
      <w:r>
        <w:separator/>
      </w:r>
    </w:p>
  </w:footnote>
  <w:footnote w:type="continuationSeparator" w:id="0">
    <w:p w:rsidR="00944C2D" w:rsidRDefault="00944C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B24" w:rsidRDefault="00F36B24">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AA5" w:rsidRDefault="007B6AA5">
    <w:pPr>
      <w:tabs>
        <w:tab w:val="center" w:pos="4395"/>
        <w:tab w:val="right" w:pos="87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B24" w:rsidRDefault="00F36B2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99D"/>
    <w:multiLevelType w:val="multilevel"/>
    <w:tmpl w:val="8912F6BA"/>
    <w:lvl w:ilvl="0">
      <w:start w:val="1"/>
      <w:numFmt w:val="upperRoman"/>
      <w:pStyle w:val="Partie"/>
      <w:lvlText w:val="%1."/>
      <w:lvlJc w:val="left"/>
      <w:pPr>
        <w:tabs>
          <w:tab w:val="num" w:pos="567"/>
        </w:tabs>
        <w:ind w:left="567" w:hanging="567"/>
      </w:pPr>
    </w:lvl>
    <w:lvl w:ilvl="1">
      <w:start w:val="7"/>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1" w15:restartNumberingAfterBreak="0">
    <w:nsid w:val="19503FDD"/>
    <w:multiLevelType w:val="singleLevel"/>
    <w:tmpl w:val="24123A70"/>
    <w:lvl w:ilvl="0">
      <w:start w:val="1"/>
      <w:numFmt w:val="bullet"/>
      <w:pStyle w:val="Dash2"/>
      <w:lvlText w:val="-"/>
      <w:lvlJc w:val="left"/>
      <w:pPr>
        <w:tabs>
          <w:tab w:val="num" w:pos="851"/>
        </w:tabs>
        <w:ind w:left="851" w:hanging="397"/>
      </w:pPr>
      <w:rPr>
        <w:rFonts w:ascii="Times New Roman" w:hAnsi="Times New Roman" w:hint="default"/>
      </w:rPr>
    </w:lvl>
  </w:abstractNum>
  <w:abstractNum w:abstractNumId="2" w15:restartNumberingAfterBreak="0">
    <w:nsid w:val="1CE93E9E"/>
    <w:multiLevelType w:val="multilevel"/>
    <w:tmpl w:val="FCC6C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FA0406F"/>
    <w:multiLevelType w:val="multilevel"/>
    <w:tmpl w:val="5144FC7A"/>
    <w:lvl w:ilvl="0">
      <w:start w:val="1"/>
      <w:numFmt w:val="decimal"/>
      <w:pStyle w:val="Para1"/>
      <w:lvlText w:val="%1."/>
      <w:lvlJc w:val="left"/>
      <w:pPr>
        <w:tabs>
          <w:tab w:val="num" w:pos="360"/>
        </w:tabs>
        <w:ind w:left="0" w:firstLine="0"/>
      </w:pPr>
    </w:lvl>
    <w:lvl w:ilvl="1">
      <w:start w:val="1"/>
      <w:numFmt w:val="decimal"/>
      <w:pStyle w:val="Para2"/>
      <w:lvlText w:val="%1.%2."/>
      <w:lvlJc w:val="left"/>
      <w:pPr>
        <w:tabs>
          <w:tab w:val="num" w:pos="720"/>
        </w:tabs>
        <w:ind w:left="0" w:firstLine="0"/>
      </w:pPr>
    </w:lvl>
    <w:lvl w:ilvl="2">
      <w:start w:val="1"/>
      <w:numFmt w:val="decimal"/>
      <w:pStyle w:val="Para3"/>
      <w:lvlText w:val="%1.%2.%3."/>
      <w:lvlJc w:val="left"/>
      <w:pPr>
        <w:tabs>
          <w:tab w:val="num" w:pos="72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4" w15:restartNumberingAfterBreak="0">
    <w:nsid w:val="5C99293D"/>
    <w:multiLevelType w:val="multilevel"/>
    <w:tmpl w:val="2E107CAA"/>
    <w:lvl w:ilvl="0">
      <w:start w:val="1"/>
      <w:numFmt w:val="upperRoman"/>
      <w:lvlText w:val="Partie %1. "/>
      <w:lvlJc w:val="left"/>
      <w:pPr>
        <w:tabs>
          <w:tab w:val="num" w:pos="1800"/>
        </w:tabs>
        <w:ind w:left="0" w:firstLine="0"/>
      </w:pPr>
      <w:rPr>
        <w:rFonts w:ascii="Times New Roman" w:hAnsi="Times New Roman" w:hint="default"/>
        <w:b/>
        <w:i w:val="0"/>
        <w:caps/>
        <w:sz w:val="24"/>
      </w:rPr>
    </w:lvl>
    <w:lvl w:ilvl="1">
      <w:start w:val="1"/>
      <w:numFmt w:val="decimalZero"/>
      <w:isLgl/>
      <w:lvlText w:val="Section %1.%2:"/>
      <w:lvlJc w:val="left"/>
      <w:pPr>
        <w:tabs>
          <w:tab w:val="num" w:pos="1800"/>
        </w:tabs>
        <w:ind w:left="0" w:firstLine="0"/>
      </w:pPr>
      <w:rPr>
        <w:rFonts w:ascii="Times New Roman" w:hAnsi="Times New Roman" w:hint="default"/>
        <w:b/>
        <w:i w:val="0"/>
        <w:caps/>
        <w:sz w:val="24"/>
      </w:rPr>
    </w:lvl>
    <w:lvl w:ilvl="2">
      <w:start w:val="1"/>
      <w:numFmt w:val="upperLetter"/>
      <w:lvlText w:val="%3."/>
      <w:lvlJc w:val="left"/>
      <w:pPr>
        <w:tabs>
          <w:tab w:val="num" w:pos="567"/>
        </w:tabs>
        <w:ind w:left="567" w:hanging="567"/>
      </w:pPr>
    </w:lvl>
    <w:lvl w:ilvl="3">
      <w:start w:val="1"/>
      <w:numFmt w:val="decimal"/>
      <w:lvlText w:val="%4."/>
      <w:lvlJc w:val="right"/>
      <w:pPr>
        <w:tabs>
          <w:tab w:val="num" w:pos="567"/>
        </w:tabs>
        <w:ind w:left="567" w:hanging="567"/>
      </w:pPr>
    </w:lvl>
    <w:lvl w:ilvl="4">
      <w:start w:val="1"/>
      <w:numFmt w:val="lowerLetter"/>
      <w:lvlText w:val="%5)"/>
      <w:lvlJc w:val="left"/>
      <w:pPr>
        <w:tabs>
          <w:tab w:val="num" w:pos="927"/>
        </w:tabs>
        <w:ind w:left="851" w:hanging="284"/>
      </w:pPr>
    </w:lvl>
    <w:lvl w:ilvl="5">
      <w:start w:val="1"/>
      <w:numFmt w:val="lowerRoman"/>
      <w:pStyle w:val="Overskrift6"/>
      <w:lvlText w:val="%6)"/>
      <w:lvlJc w:val="left"/>
      <w:pPr>
        <w:tabs>
          <w:tab w:val="num" w:pos="1571"/>
        </w:tabs>
        <w:ind w:left="1134" w:hanging="283"/>
      </w:pPr>
      <w:rPr>
        <w:rFonts w:ascii="Times New Roman" w:hAnsi="Times New Roman" w:hint="default"/>
        <w:sz w:val="22"/>
      </w:rPr>
    </w:lvl>
    <w:lvl w:ilvl="6">
      <w:start w:val="1"/>
      <w:numFmt w:val="lowerRoman"/>
      <w:pStyle w:val="Overskrift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6DD01C97"/>
    <w:multiLevelType w:val="singleLevel"/>
    <w:tmpl w:val="AC582320"/>
    <w:lvl w:ilvl="0">
      <w:start w:val="1"/>
      <w:numFmt w:val="bullet"/>
      <w:pStyle w:val="Dash1"/>
      <w:lvlText w:val="-"/>
      <w:lvlJc w:val="left"/>
      <w:pPr>
        <w:tabs>
          <w:tab w:val="num" w:pos="644"/>
        </w:tabs>
        <w:ind w:left="567" w:hanging="283"/>
      </w:pPr>
      <w:rPr>
        <w:rFonts w:ascii="Times New Roman" w:hAnsi="Times New Roman" w:hint="default"/>
      </w:rPr>
    </w:lvl>
  </w:abstractNum>
  <w:num w:numId="1">
    <w:abstractNumId w:val="1"/>
  </w:num>
  <w:num w:numId="2">
    <w:abstractNumId w:val="5"/>
  </w:num>
  <w:num w:numId="3">
    <w:abstractNumId w:val="0"/>
  </w:num>
  <w:num w:numId="4">
    <w:abstractNumId w:val="4"/>
  </w:num>
  <w:num w:numId="5">
    <w:abstractNumId w:val="3"/>
  </w:num>
  <w:num w:numId="6">
    <w:abstractNumId w:val="3"/>
  </w:num>
  <w:num w:numId="7">
    <w:abstractNumId w:val="5"/>
  </w:num>
  <w:num w:numId="8">
    <w:abstractNumId w:val="1"/>
  </w:num>
  <w:num w:numId="9">
    <w:abstractNumId w:val="4"/>
  </w:num>
  <w:num w:numId="10">
    <w:abstractNumId w:val="4"/>
  </w:num>
  <w:num w:numId="11">
    <w:abstractNumId w:val="3"/>
  </w:num>
  <w:num w:numId="12">
    <w:abstractNumId w:val="3"/>
  </w:num>
  <w:num w:numId="13">
    <w:abstractNumId w:val="3"/>
  </w:num>
  <w:num w:numId="14">
    <w:abstractNumId w:val="3"/>
  </w:num>
  <w:num w:numId="15">
    <w:abstractNumId w:val="3"/>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10"/>
    <w:rsid w:val="00001E0E"/>
    <w:rsid w:val="000212EB"/>
    <w:rsid w:val="00025C28"/>
    <w:rsid w:val="0002782F"/>
    <w:rsid w:val="00033158"/>
    <w:rsid w:val="00066644"/>
    <w:rsid w:val="00066961"/>
    <w:rsid w:val="000701C2"/>
    <w:rsid w:val="0007070B"/>
    <w:rsid w:val="00076AD6"/>
    <w:rsid w:val="00082C1D"/>
    <w:rsid w:val="00096BB0"/>
    <w:rsid w:val="000B47B1"/>
    <w:rsid w:val="000C2A0F"/>
    <w:rsid w:val="000E5215"/>
    <w:rsid w:val="000F7744"/>
    <w:rsid w:val="001043BE"/>
    <w:rsid w:val="00126AF1"/>
    <w:rsid w:val="001311EC"/>
    <w:rsid w:val="00144DED"/>
    <w:rsid w:val="00155764"/>
    <w:rsid w:val="00157947"/>
    <w:rsid w:val="0016350D"/>
    <w:rsid w:val="00163A61"/>
    <w:rsid w:val="00166B26"/>
    <w:rsid w:val="00191440"/>
    <w:rsid w:val="00197108"/>
    <w:rsid w:val="00197A0F"/>
    <w:rsid w:val="001A1AE0"/>
    <w:rsid w:val="001B1FF6"/>
    <w:rsid w:val="001C0C0D"/>
    <w:rsid w:val="001C43A6"/>
    <w:rsid w:val="001C7BBD"/>
    <w:rsid w:val="001E5A5E"/>
    <w:rsid w:val="001F0F2A"/>
    <w:rsid w:val="001F24D3"/>
    <w:rsid w:val="00201AC2"/>
    <w:rsid w:val="0021469F"/>
    <w:rsid w:val="00236787"/>
    <w:rsid w:val="002368EC"/>
    <w:rsid w:val="002745E0"/>
    <w:rsid w:val="00284473"/>
    <w:rsid w:val="002B5CBB"/>
    <w:rsid w:val="002C249D"/>
    <w:rsid w:val="002D1765"/>
    <w:rsid w:val="002F4969"/>
    <w:rsid w:val="002F723D"/>
    <w:rsid w:val="00310056"/>
    <w:rsid w:val="00310879"/>
    <w:rsid w:val="00320DEF"/>
    <w:rsid w:val="00321D5F"/>
    <w:rsid w:val="00333F01"/>
    <w:rsid w:val="00335FCF"/>
    <w:rsid w:val="00337F91"/>
    <w:rsid w:val="0035613B"/>
    <w:rsid w:val="00357574"/>
    <w:rsid w:val="00361E51"/>
    <w:rsid w:val="00371E27"/>
    <w:rsid w:val="0037229D"/>
    <w:rsid w:val="0037723B"/>
    <w:rsid w:val="00382CBE"/>
    <w:rsid w:val="00383F14"/>
    <w:rsid w:val="00384BF1"/>
    <w:rsid w:val="00387148"/>
    <w:rsid w:val="00396225"/>
    <w:rsid w:val="003D1051"/>
    <w:rsid w:val="003D7FD3"/>
    <w:rsid w:val="003E4296"/>
    <w:rsid w:val="003F2DC4"/>
    <w:rsid w:val="00414289"/>
    <w:rsid w:val="0041580F"/>
    <w:rsid w:val="00426461"/>
    <w:rsid w:val="00431480"/>
    <w:rsid w:val="00431E1E"/>
    <w:rsid w:val="00443908"/>
    <w:rsid w:val="00466B33"/>
    <w:rsid w:val="00471928"/>
    <w:rsid w:val="004744FE"/>
    <w:rsid w:val="00474B90"/>
    <w:rsid w:val="00484432"/>
    <w:rsid w:val="004A179E"/>
    <w:rsid w:val="004A78D3"/>
    <w:rsid w:val="004D1BD2"/>
    <w:rsid w:val="004D5D60"/>
    <w:rsid w:val="004F4356"/>
    <w:rsid w:val="00510CD4"/>
    <w:rsid w:val="00512F86"/>
    <w:rsid w:val="00522C19"/>
    <w:rsid w:val="0052749A"/>
    <w:rsid w:val="00557D44"/>
    <w:rsid w:val="0057383A"/>
    <w:rsid w:val="005761C3"/>
    <w:rsid w:val="00577361"/>
    <w:rsid w:val="00581787"/>
    <w:rsid w:val="00591212"/>
    <w:rsid w:val="005A2375"/>
    <w:rsid w:val="005B0339"/>
    <w:rsid w:val="005B64B1"/>
    <w:rsid w:val="005B7FE9"/>
    <w:rsid w:val="005C162C"/>
    <w:rsid w:val="005D2BB4"/>
    <w:rsid w:val="005E6BD1"/>
    <w:rsid w:val="005F7041"/>
    <w:rsid w:val="005F73A4"/>
    <w:rsid w:val="00612B8B"/>
    <w:rsid w:val="00647680"/>
    <w:rsid w:val="006576B1"/>
    <w:rsid w:val="0066365E"/>
    <w:rsid w:val="00664AC5"/>
    <w:rsid w:val="006728AB"/>
    <w:rsid w:val="0068004E"/>
    <w:rsid w:val="00692FAB"/>
    <w:rsid w:val="0069784C"/>
    <w:rsid w:val="006A38F3"/>
    <w:rsid w:val="006A749D"/>
    <w:rsid w:val="006A7E19"/>
    <w:rsid w:val="006B06E0"/>
    <w:rsid w:val="006B39C3"/>
    <w:rsid w:val="006B762C"/>
    <w:rsid w:val="006C6C3C"/>
    <w:rsid w:val="006F7B9F"/>
    <w:rsid w:val="007025B3"/>
    <w:rsid w:val="007067B1"/>
    <w:rsid w:val="00715D85"/>
    <w:rsid w:val="007500FF"/>
    <w:rsid w:val="00752A1D"/>
    <w:rsid w:val="00763F6C"/>
    <w:rsid w:val="00766F1D"/>
    <w:rsid w:val="00786C04"/>
    <w:rsid w:val="00792202"/>
    <w:rsid w:val="007B46AD"/>
    <w:rsid w:val="007B69B2"/>
    <w:rsid w:val="007B6AA5"/>
    <w:rsid w:val="007C0C24"/>
    <w:rsid w:val="007C3DC6"/>
    <w:rsid w:val="007C486D"/>
    <w:rsid w:val="007C753F"/>
    <w:rsid w:val="007C7587"/>
    <w:rsid w:val="007D1D86"/>
    <w:rsid w:val="007D3E3A"/>
    <w:rsid w:val="007F6E22"/>
    <w:rsid w:val="00802645"/>
    <w:rsid w:val="0082185F"/>
    <w:rsid w:val="008245FA"/>
    <w:rsid w:val="0082750A"/>
    <w:rsid w:val="00834560"/>
    <w:rsid w:val="00846C5F"/>
    <w:rsid w:val="008476F3"/>
    <w:rsid w:val="00862C7A"/>
    <w:rsid w:val="00864FEE"/>
    <w:rsid w:val="00874873"/>
    <w:rsid w:val="008826C9"/>
    <w:rsid w:val="00882B14"/>
    <w:rsid w:val="00886C8F"/>
    <w:rsid w:val="00892D53"/>
    <w:rsid w:val="00895695"/>
    <w:rsid w:val="008A743A"/>
    <w:rsid w:val="008B3A1D"/>
    <w:rsid w:val="008B5248"/>
    <w:rsid w:val="008C3152"/>
    <w:rsid w:val="008D524E"/>
    <w:rsid w:val="008D69E2"/>
    <w:rsid w:val="008D7EAF"/>
    <w:rsid w:val="008E589D"/>
    <w:rsid w:val="008F3DA2"/>
    <w:rsid w:val="008F6CBE"/>
    <w:rsid w:val="00904F35"/>
    <w:rsid w:val="00905CBB"/>
    <w:rsid w:val="009322DD"/>
    <w:rsid w:val="009434ED"/>
    <w:rsid w:val="00944C2D"/>
    <w:rsid w:val="00952F70"/>
    <w:rsid w:val="00957F65"/>
    <w:rsid w:val="009668E2"/>
    <w:rsid w:val="009701A3"/>
    <w:rsid w:val="009809F7"/>
    <w:rsid w:val="00983F21"/>
    <w:rsid w:val="00987C94"/>
    <w:rsid w:val="00994576"/>
    <w:rsid w:val="009A5FE0"/>
    <w:rsid w:val="009B54B3"/>
    <w:rsid w:val="009C0B70"/>
    <w:rsid w:val="009C7952"/>
    <w:rsid w:val="009D0858"/>
    <w:rsid w:val="009E16A1"/>
    <w:rsid w:val="009F4E46"/>
    <w:rsid w:val="009F605C"/>
    <w:rsid w:val="00A0313B"/>
    <w:rsid w:val="00A060D0"/>
    <w:rsid w:val="00A12EBB"/>
    <w:rsid w:val="00A14070"/>
    <w:rsid w:val="00A20091"/>
    <w:rsid w:val="00A27DA0"/>
    <w:rsid w:val="00A55185"/>
    <w:rsid w:val="00A56A8A"/>
    <w:rsid w:val="00A7026C"/>
    <w:rsid w:val="00A74AD4"/>
    <w:rsid w:val="00A837C7"/>
    <w:rsid w:val="00A86F77"/>
    <w:rsid w:val="00A90D66"/>
    <w:rsid w:val="00AC0B63"/>
    <w:rsid w:val="00AD7EEE"/>
    <w:rsid w:val="00AE0487"/>
    <w:rsid w:val="00AE4C1F"/>
    <w:rsid w:val="00AF5E96"/>
    <w:rsid w:val="00B02A28"/>
    <w:rsid w:val="00B05289"/>
    <w:rsid w:val="00B05653"/>
    <w:rsid w:val="00B12E78"/>
    <w:rsid w:val="00B16F64"/>
    <w:rsid w:val="00B202A2"/>
    <w:rsid w:val="00B33797"/>
    <w:rsid w:val="00B42A7C"/>
    <w:rsid w:val="00B46280"/>
    <w:rsid w:val="00B46E7C"/>
    <w:rsid w:val="00B578C7"/>
    <w:rsid w:val="00B60BBA"/>
    <w:rsid w:val="00B6407C"/>
    <w:rsid w:val="00B643E6"/>
    <w:rsid w:val="00B73216"/>
    <w:rsid w:val="00B832CD"/>
    <w:rsid w:val="00B9643C"/>
    <w:rsid w:val="00BA0002"/>
    <w:rsid w:val="00BA19A7"/>
    <w:rsid w:val="00BB5FB0"/>
    <w:rsid w:val="00BB64D2"/>
    <w:rsid w:val="00BE4D42"/>
    <w:rsid w:val="00C07F0A"/>
    <w:rsid w:val="00C1013A"/>
    <w:rsid w:val="00C13FF8"/>
    <w:rsid w:val="00C30EBC"/>
    <w:rsid w:val="00C3400E"/>
    <w:rsid w:val="00C3492B"/>
    <w:rsid w:val="00C37980"/>
    <w:rsid w:val="00C41664"/>
    <w:rsid w:val="00C502A8"/>
    <w:rsid w:val="00C6183A"/>
    <w:rsid w:val="00C66B2D"/>
    <w:rsid w:val="00C90A84"/>
    <w:rsid w:val="00CB037E"/>
    <w:rsid w:val="00CB2631"/>
    <w:rsid w:val="00CD0458"/>
    <w:rsid w:val="00CD2D97"/>
    <w:rsid w:val="00CE13C8"/>
    <w:rsid w:val="00CF15E5"/>
    <w:rsid w:val="00CF3A7F"/>
    <w:rsid w:val="00CF7968"/>
    <w:rsid w:val="00D127D4"/>
    <w:rsid w:val="00D13AC2"/>
    <w:rsid w:val="00D13F50"/>
    <w:rsid w:val="00D22D2E"/>
    <w:rsid w:val="00D25BB2"/>
    <w:rsid w:val="00D32204"/>
    <w:rsid w:val="00D36B8D"/>
    <w:rsid w:val="00D40CF5"/>
    <w:rsid w:val="00D40DF4"/>
    <w:rsid w:val="00D4539A"/>
    <w:rsid w:val="00D47223"/>
    <w:rsid w:val="00D54BA4"/>
    <w:rsid w:val="00D57575"/>
    <w:rsid w:val="00D6095C"/>
    <w:rsid w:val="00D77610"/>
    <w:rsid w:val="00DB768C"/>
    <w:rsid w:val="00DC1F3A"/>
    <w:rsid w:val="00DC6B95"/>
    <w:rsid w:val="00DD41BB"/>
    <w:rsid w:val="00E10A86"/>
    <w:rsid w:val="00E123BA"/>
    <w:rsid w:val="00E22E89"/>
    <w:rsid w:val="00E2526B"/>
    <w:rsid w:val="00E252C1"/>
    <w:rsid w:val="00E31BCD"/>
    <w:rsid w:val="00E4023F"/>
    <w:rsid w:val="00E5491C"/>
    <w:rsid w:val="00E62D8B"/>
    <w:rsid w:val="00E67FFC"/>
    <w:rsid w:val="00E75FC9"/>
    <w:rsid w:val="00E80123"/>
    <w:rsid w:val="00E916E1"/>
    <w:rsid w:val="00E91CBD"/>
    <w:rsid w:val="00EA341B"/>
    <w:rsid w:val="00EA5C68"/>
    <w:rsid w:val="00EC69B8"/>
    <w:rsid w:val="00ED4D79"/>
    <w:rsid w:val="00EE1377"/>
    <w:rsid w:val="00EE198B"/>
    <w:rsid w:val="00F24BD6"/>
    <w:rsid w:val="00F264AA"/>
    <w:rsid w:val="00F36692"/>
    <w:rsid w:val="00F36B24"/>
    <w:rsid w:val="00F47945"/>
    <w:rsid w:val="00F57EDF"/>
    <w:rsid w:val="00F6018A"/>
    <w:rsid w:val="00F6428E"/>
    <w:rsid w:val="00F66959"/>
    <w:rsid w:val="00F676B1"/>
    <w:rsid w:val="00F77C91"/>
    <w:rsid w:val="00F81CEC"/>
    <w:rsid w:val="00F820F5"/>
    <w:rsid w:val="00FA2F6A"/>
    <w:rsid w:val="00FB5F09"/>
    <w:rsid w:val="00FB6771"/>
    <w:rsid w:val="00FC0165"/>
    <w:rsid w:val="00FC53CA"/>
    <w:rsid w:val="00FD62C1"/>
    <w:rsid w:val="00FD7C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B3BD29-2751-4D45-AB05-BAE41059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610"/>
    <w:pPr>
      <w:spacing w:before="240" w:after="240"/>
    </w:pPr>
    <w:rPr>
      <w:rFonts w:ascii="Arial" w:eastAsiaTheme="minorHAnsi" w:hAnsi="Arial" w:cstheme="minorBidi"/>
      <w:sz w:val="22"/>
      <w:szCs w:val="22"/>
      <w:lang w:val="en-CA" w:eastAsia="en-US"/>
    </w:rPr>
  </w:style>
  <w:style w:type="paragraph" w:styleId="Overskrift1">
    <w:name w:val="heading 1"/>
    <w:basedOn w:val="HeadingBase"/>
    <w:next w:val="Normal"/>
    <w:qFormat/>
    <w:rsid w:val="008B3A1D"/>
    <w:pPr>
      <w:outlineLvl w:val="0"/>
    </w:pPr>
    <w:rPr>
      <w:b/>
      <w:caps/>
      <w:kern w:val="24"/>
      <w:u w:val="single"/>
    </w:rPr>
  </w:style>
  <w:style w:type="paragraph" w:styleId="Overskrift2">
    <w:name w:val="heading 2"/>
    <w:basedOn w:val="HeadingBase"/>
    <w:next w:val="Normal"/>
    <w:qFormat/>
    <w:rsid w:val="008B3A1D"/>
    <w:pPr>
      <w:outlineLvl w:val="1"/>
    </w:pPr>
    <w:rPr>
      <w:b/>
      <w:i/>
    </w:rPr>
  </w:style>
  <w:style w:type="paragraph" w:styleId="Overskrift3">
    <w:name w:val="heading 3"/>
    <w:basedOn w:val="HeadingBase"/>
    <w:next w:val="Normal"/>
    <w:qFormat/>
    <w:rsid w:val="008B3A1D"/>
    <w:pPr>
      <w:outlineLvl w:val="2"/>
    </w:pPr>
    <w:rPr>
      <w:b/>
    </w:rPr>
  </w:style>
  <w:style w:type="paragraph" w:styleId="Overskrift4">
    <w:name w:val="heading 4"/>
    <w:basedOn w:val="HeadingBase"/>
    <w:next w:val="Normal"/>
    <w:qFormat/>
    <w:rsid w:val="008B3A1D"/>
    <w:pPr>
      <w:outlineLvl w:val="3"/>
    </w:pPr>
    <w:rPr>
      <w:u w:val="single"/>
    </w:rPr>
  </w:style>
  <w:style w:type="paragraph" w:styleId="Overskrift5">
    <w:name w:val="heading 5"/>
    <w:basedOn w:val="HeadingBase"/>
    <w:next w:val="Normal"/>
    <w:qFormat/>
    <w:rsid w:val="008B3A1D"/>
    <w:pPr>
      <w:outlineLvl w:val="4"/>
    </w:pPr>
    <w:rPr>
      <w:i/>
    </w:rPr>
  </w:style>
  <w:style w:type="paragraph" w:styleId="Overskrift6">
    <w:name w:val="heading 6"/>
    <w:basedOn w:val="Normal"/>
    <w:next w:val="Normal"/>
    <w:qFormat/>
    <w:rsid w:val="002C249D"/>
    <w:pPr>
      <w:numPr>
        <w:ilvl w:val="5"/>
        <w:numId w:val="10"/>
      </w:numPr>
      <w:spacing w:after="60" w:line="360" w:lineRule="auto"/>
      <w:outlineLvl w:val="5"/>
    </w:pPr>
    <w:rPr>
      <w:rFonts w:ascii="Times New Roman" w:eastAsia="Times New Roman" w:hAnsi="Times New Roman" w:cs="Times New Roman"/>
      <w:i/>
      <w:szCs w:val="20"/>
      <w:lang w:val="en-GB" w:eastAsia="en-GB"/>
    </w:rPr>
  </w:style>
  <w:style w:type="paragraph" w:styleId="Overskrift7">
    <w:name w:val="heading 7"/>
    <w:basedOn w:val="Normal"/>
    <w:next w:val="Normal"/>
    <w:qFormat/>
    <w:rsid w:val="008B3A1D"/>
    <w:pPr>
      <w:keepNext/>
      <w:numPr>
        <w:ilvl w:val="6"/>
        <w:numId w:val="10"/>
      </w:numPr>
      <w:tabs>
        <w:tab w:val="right" w:pos="8789"/>
      </w:tabs>
      <w:suppressAutoHyphens/>
      <w:spacing w:before="0" w:line="360" w:lineRule="auto"/>
      <w:outlineLvl w:val="6"/>
    </w:pPr>
    <w:rPr>
      <w:rFonts w:ascii="Times New Roman" w:eastAsia="Times New Roman" w:hAnsi="Times New Roman" w:cs="Times New Roman"/>
      <w:i/>
      <w:sz w:val="20"/>
      <w:szCs w:val="20"/>
      <w:lang w:val="en-GB"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Base">
    <w:name w:val="(Template_Base)"/>
    <w:rsid w:val="002C249D"/>
    <w:pPr>
      <w:spacing w:after="240" w:line="360" w:lineRule="auto"/>
    </w:pPr>
    <w:rPr>
      <w:rFonts w:ascii="Calibri" w:hAnsi="Calibri"/>
      <w:sz w:val="22"/>
    </w:rPr>
  </w:style>
  <w:style w:type="paragraph" w:customStyle="1" w:styleId="Copies">
    <w:name w:val="Copies"/>
    <w:basedOn w:val="TemplateBase"/>
    <w:rsid w:val="008B3A1D"/>
    <w:pPr>
      <w:spacing w:after="120" w:line="240" w:lineRule="auto"/>
      <w:ind w:left="851" w:hanging="851"/>
    </w:pPr>
  </w:style>
  <w:style w:type="paragraph" w:customStyle="1" w:styleId="Dash1">
    <w:name w:val="Dash_1"/>
    <w:basedOn w:val="TemplateBase"/>
    <w:rsid w:val="008B3A1D"/>
    <w:pPr>
      <w:numPr>
        <w:numId w:val="7"/>
      </w:numPr>
    </w:pPr>
  </w:style>
  <w:style w:type="paragraph" w:customStyle="1" w:styleId="Dash2">
    <w:name w:val="Dash_2"/>
    <w:basedOn w:val="TemplateBase"/>
    <w:rsid w:val="008B3A1D"/>
    <w:pPr>
      <w:numPr>
        <w:numId w:val="8"/>
      </w:numPr>
    </w:pPr>
  </w:style>
  <w:style w:type="character" w:styleId="Slutnotehenvisning">
    <w:name w:val="endnote reference"/>
    <w:semiHidden/>
    <w:rsid w:val="008B3A1D"/>
    <w:rPr>
      <w:rFonts w:ascii="Arial" w:hAnsi="Arial"/>
      <w:b/>
      <w:vertAlign w:val="superscript"/>
    </w:rPr>
  </w:style>
  <w:style w:type="paragraph" w:styleId="Slutnotetekst">
    <w:name w:val="endnote text"/>
    <w:basedOn w:val="TemplateBase"/>
    <w:link w:val="SlutnotetekstTegn"/>
    <w:semiHidden/>
    <w:rsid w:val="008B3A1D"/>
    <w:pPr>
      <w:keepLines/>
      <w:spacing w:line="240" w:lineRule="auto"/>
      <w:ind w:left="454" w:hanging="454"/>
    </w:pPr>
  </w:style>
  <w:style w:type="character" w:customStyle="1" w:styleId="SlutnotetekstTegn">
    <w:name w:val="Slutnotetekst Tegn"/>
    <w:basedOn w:val="Standardskrifttypeiafsnit"/>
    <w:link w:val="Slutnotetekst"/>
    <w:semiHidden/>
    <w:rsid w:val="008B3A1D"/>
    <w:rPr>
      <w:rFonts w:ascii="Arial" w:hAnsi="Arial"/>
      <w:sz w:val="22"/>
    </w:rPr>
  </w:style>
  <w:style w:type="paragraph" w:styleId="Sidefod">
    <w:name w:val="footer"/>
    <w:basedOn w:val="TemplateBase"/>
    <w:link w:val="SidefodTegn"/>
    <w:rsid w:val="008B3A1D"/>
    <w:pPr>
      <w:tabs>
        <w:tab w:val="center" w:pos="4153"/>
        <w:tab w:val="right" w:pos="8306"/>
      </w:tabs>
    </w:pPr>
    <w:rPr>
      <w:sz w:val="20"/>
    </w:rPr>
  </w:style>
  <w:style w:type="character" w:customStyle="1" w:styleId="SidefodTegn">
    <w:name w:val="Sidefod Tegn"/>
    <w:basedOn w:val="Standardskrifttypeiafsnit"/>
    <w:link w:val="Sidefod"/>
    <w:rsid w:val="008B3A1D"/>
    <w:rPr>
      <w:rFonts w:ascii="Arial" w:hAnsi="Arial"/>
    </w:rPr>
  </w:style>
  <w:style w:type="character" w:styleId="Fodnotehenvisning">
    <w:name w:val="footnote reference"/>
    <w:semiHidden/>
    <w:rsid w:val="008B3A1D"/>
    <w:rPr>
      <w:rFonts w:ascii="Arial" w:hAnsi="Arial"/>
      <w:b/>
      <w:vertAlign w:val="superscript"/>
    </w:rPr>
  </w:style>
  <w:style w:type="paragraph" w:styleId="Fodnotetekst">
    <w:name w:val="footnote text"/>
    <w:basedOn w:val="TemplateBase"/>
    <w:link w:val="FodnotetekstTegn"/>
    <w:semiHidden/>
    <w:rsid w:val="008B3A1D"/>
    <w:pPr>
      <w:spacing w:line="240" w:lineRule="auto"/>
      <w:ind w:left="454" w:hanging="454"/>
    </w:pPr>
  </w:style>
  <w:style w:type="character" w:customStyle="1" w:styleId="FodnotetekstTegn">
    <w:name w:val="Fodnotetekst Tegn"/>
    <w:basedOn w:val="Standardskrifttypeiafsnit"/>
    <w:link w:val="Fodnotetekst"/>
    <w:semiHidden/>
    <w:rsid w:val="008B3A1D"/>
    <w:rPr>
      <w:rFonts w:ascii="Arial" w:hAnsi="Arial"/>
      <w:sz w:val="22"/>
    </w:rPr>
  </w:style>
  <w:style w:type="paragraph" w:styleId="Sidehoved">
    <w:name w:val="header"/>
    <w:basedOn w:val="TemplateBase"/>
    <w:link w:val="SidehovedTegn"/>
    <w:rsid w:val="008B3A1D"/>
    <w:pPr>
      <w:tabs>
        <w:tab w:val="center" w:pos="4320"/>
        <w:tab w:val="right" w:pos="8640"/>
      </w:tabs>
    </w:pPr>
  </w:style>
  <w:style w:type="character" w:customStyle="1" w:styleId="SidehovedTegn">
    <w:name w:val="Sidehoved Tegn"/>
    <w:basedOn w:val="Standardskrifttypeiafsnit"/>
    <w:link w:val="Sidehoved"/>
    <w:rsid w:val="008B3A1D"/>
    <w:rPr>
      <w:rFonts w:ascii="Arial" w:hAnsi="Arial"/>
      <w:sz w:val="24"/>
    </w:rPr>
  </w:style>
  <w:style w:type="paragraph" w:customStyle="1" w:styleId="HeadingBase">
    <w:name w:val="Heading Base"/>
    <w:basedOn w:val="TemplateBase"/>
    <w:rsid w:val="008B3A1D"/>
    <w:pPr>
      <w:keepNext/>
      <w:spacing w:after="360"/>
    </w:pPr>
  </w:style>
  <w:style w:type="character" w:styleId="Sidetal">
    <w:name w:val="page number"/>
    <w:basedOn w:val="Standardskrifttypeiafsnit"/>
    <w:rsid w:val="008B3A1D"/>
  </w:style>
  <w:style w:type="paragraph" w:customStyle="1" w:styleId="Para1">
    <w:name w:val="Para_1"/>
    <w:basedOn w:val="TemplateBase"/>
    <w:rsid w:val="008B3A1D"/>
    <w:pPr>
      <w:numPr>
        <w:numId w:val="15"/>
      </w:numPr>
      <w:tabs>
        <w:tab w:val="left" w:pos="454"/>
        <w:tab w:val="left" w:pos="567"/>
      </w:tabs>
    </w:pPr>
  </w:style>
  <w:style w:type="paragraph" w:customStyle="1" w:styleId="Para2">
    <w:name w:val="Para_2"/>
    <w:basedOn w:val="TemplateBase"/>
    <w:rsid w:val="008B3A1D"/>
    <w:pPr>
      <w:numPr>
        <w:ilvl w:val="1"/>
        <w:numId w:val="15"/>
      </w:numPr>
    </w:pPr>
  </w:style>
  <w:style w:type="paragraph" w:customStyle="1" w:styleId="Para3">
    <w:name w:val="Para_3"/>
    <w:basedOn w:val="TemplateBase"/>
    <w:rsid w:val="008B3A1D"/>
    <w:pPr>
      <w:numPr>
        <w:ilvl w:val="2"/>
        <w:numId w:val="15"/>
      </w:numPr>
      <w:tabs>
        <w:tab w:val="left" w:pos="992"/>
      </w:tabs>
    </w:pPr>
  </w:style>
  <w:style w:type="paragraph" w:customStyle="1" w:styleId="Para4">
    <w:name w:val="Para_4"/>
    <w:basedOn w:val="TemplateBase"/>
    <w:rsid w:val="008B3A1D"/>
    <w:pPr>
      <w:numPr>
        <w:ilvl w:val="3"/>
        <w:numId w:val="15"/>
      </w:numPr>
      <w:spacing w:after="360"/>
    </w:pPr>
  </w:style>
  <w:style w:type="paragraph" w:customStyle="1" w:styleId="Para5">
    <w:name w:val="Para_5"/>
    <w:basedOn w:val="TemplateBase"/>
    <w:rsid w:val="008B3A1D"/>
    <w:pPr>
      <w:numPr>
        <w:ilvl w:val="4"/>
        <w:numId w:val="15"/>
      </w:numPr>
      <w:tabs>
        <w:tab w:val="left" w:pos="1021"/>
      </w:tabs>
      <w:spacing w:after="360"/>
    </w:pPr>
  </w:style>
  <w:style w:type="paragraph" w:customStyle="1" w:styleId="Partie">
    <w:name w:val="Partie"/>
    <w:basedOn w:val="Overskrift1"/>
    <w:rsid w:val="008B3A1D"/>
    <w:pPr>
      <w:numPr>
        <w:numId w:val="16"/>
      </w:numPr>
    </w:pPr>
    <w:rPr>
      <w:u w:val="none"/>
    </w:rPr>
  </w:style>
  <w:style w:type="paragraph" w:styleId="Underskrift">
    <w:name w:val="Signature"/>
    <w:basedOn w:val="TemplateBase"/>
    <w:link w:val="UnderskriftTegn"/>
    <w:rsid w:val="008B3A1D"/>
    <w:pPr>
      <w:keepNext/>
      <w:spacing w:before="360" w:after="360" w:line="240" w:lineRule="auto"/>
      <w:ind w:left="5103"/>
      <w:jc w:val="center"/>
    </w:pPr>
  </w:style>
  <w:style w:type="character" w:customStyle="1" w:styleId="UnderskriftTegn">
    <w:name w:val="Underskrift Tegn"/>
    <w:basedOn w:val="Standardskrifttypeiafsnit"/>
    <w:link w:val="Underskrift"/>
    <w:rsid w:val="008B3A1D"/>
    <w:rPr>
      <w:rFonts w:ascii="Arial" w:hAnsi="Arial"/>
      <w:sz w:val="24"/>
    </w:rPr>
  </w:style>
  <w:style w:type="paragraph" w:customStyle="1" w:styleId="SignaturePrsident">
    <w:name w:val="Signature Président"/>
    <w:basedOn w:val="Normal"/>
    <w:next w:val="Normal"/>
    <w:rsid w:val="008B3A1D"/>
    <w:pPr>
      <w:tabs>
        <w:tab w:val="left" w:pos="5528"/>
        <w:tab w:val="left" w:pos="5812"/>
        <w:tab w:val="left" w:pos="6379"/>
      </w:tabs>
    </w:pPr>
  </w:style>
  <w:style w:type="paragraph" w:customStyle="1" w:styleId="TOCBase">
    <w:name w:val="TOC Base"/>
    <w:basedOn w:val="TemplateBase"/>
    <w:rsid w:val="008B3A1D"/>
    <w:pPr>
      <w:tabs>
        <w:tab w:val="left" w:pos="454"/>
        <w:tab w:val="left" w:pos="851"/>
        <w:tab w:val="left" w:pos="6577"/>
        <w:tab w:val="left" w:pos="7088"/>
        <w:tab w:val="left" w:pos="7484"/>
      </w:tabs>
    </w:pPr>
  </w:style>
  <w:style w:type="paragraph" w:styleId="Indholdsfortegnelse1">
    <w:name w:val="toc 1"/>
    <w:basedOn w:val="TOCBase"/>
    <w:autoRedefine/>
    <w:semiHidden/>
    <w:rsid w:val="008B3A1D"/>
    <w:pPr>
      <w:tabs>
        <w:tab w:val="left" w:pos="7655"/>
      </w:tabs>
    </w:pPr>
  </w:style>
  <w:style w:type="paragraph" w:styleId="Indholdsfortegnelse2">
    <w:name w:val="toc 2"/>
    <w:basedOn w:val="TOCBase"/>
    <w:autoRedefine/>
    <w:semiHidden/>
    <w:rsid w:val="008B3A1D"/>
    <w:pPr>
      <w:tabs>
        <w:tab w:val="left" w:pos="7655"/>
      </w:tabs>
      <w:ind w:left="454"/>
    </w:pPr>
  </w:style>
  <w:style w:type="paragraph" w:styleId="Indholdsfortegnelse3">
    <w:name w:val="toc 3"/>
    <w:basedOn w:val="TOCBase"/>
    <w:autoRedefine/>
    <w:semiHidden/>
    <w:rsid w:val="008B3A1D"/>
    <w:pPr>
      <w:tabs>
        <w:tab w:val="left" w:pos="7655"/>
      </w:tabs>
      <w:ind w:left="851"/>
    </w:pPr>
  </w:style>
  <w:style w:type="paragraph" w:styleId="Indholdsfortegnelse4">
    <w:name w:val="toc 4"/>
    <w:basedOn w:val="TOCBase"/>
    <w:next w:val="Normal"/>
    <w:autoRedefine/>
    <w:semiHidden/>
    <w:rsid w:val="008B3A1D"/>
    <w:pPr>
      <w:ind w:left="720"/>
    </w:pPr>
  </w:style>
  <w:style w:type="paragraph" w:styleId="Indholdsfortegnelse5">
    <w:name w:val="toc 5"/>
    <w:basedOn w:val="TOCBase"/>
    <w:next w:val="Normal"/>
    <w:autoRedefine/>
    <w:semiHidden/>
    <w:rsid w:val="008B3A1D"/>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2991</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Court of Auditors</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SIME</dc:creator>
  <cp:lastModifiedBy>Mette E. Matthiasen</cp:lastModifiedBy>
  <cp:revision>1</cp:revision>
  <cp:lastPrinted>2016-01-14T07:52:00Z</cp:lastPrinted>
  <dcterms:created xsi:type="dcterms:W3CDTF">2016-05-02T10:37:00Z</dcterms:created>
  <dcterms:modified xsi:type="dcterms:W3CDTF">2016-05-02T10:37:00Z</dcterms:modified>
</cp:coreProperties>
</file>